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85" w:rsidRPr="00142D4F" w:rsidRDefault="00143E85" w:rsidP="00142D4F">
      <w:pPr>
        <w:pStyle w:val="Title"/>
        <w:jc w:val="center"/>
        <w:rPr>
          <w:rFonts w:asciiTheme="minorHAnsi" w:hAnsiTheme="minorHAnsi" w:cstheme="minorHAnsi"/>
          <w:b/>
        </w:rPr>
      </w:pPr>
      <w:r w:rsidRPr="00142D4F">
        <w:rPr>
          <w:rFonts w:asciiTheme="minorHAnsi" w:hAnsiTheme="minorHAnsi" w:cstheme="minorHAnsi"/>
        </w:rPr>
        <w:t>Event Tracking Log</w:t>
      </w:r>
      <w:bookmarkStart w:id="0" w:name="_GoBack"/>
      <w:bookmarkEnd w:id="0"/>
    </w:p>
    <w:p w:rsidR="001A58A5" w:rsidRPr="00CB167D" w:rsidRDefault="00143E85" w:rsidP="00610EC4">
      <w:pPr>
        <w:pStyle w:val="Heading2"/>
        <w:rPr>
          <w:rStyle w:val="BoldUnderscore"/>
          <w:b/>
          <w:bCs w:val="0"/>
          <w:sz w:val="28"/>
          <w:szCs w:val="28"/>
          <w:u w:val="none"/>
        </w:rPr>
      </w:pPr>
      <w:r w:rsidRPr="00CB167D">
        <w:rPr>
          <w:rStyle w:val="BoldUnderscore"/>
          <w:b/>
          <w:bCs w:val="0"/>
          <w:sz w:val="28"/>
          <w:szCs w:val="28"/>
          <w:u w:val="none"/>
        </w:rPr>
        <w:t>Instructions</w:t>
      </w:r>
    </w:p>
    <w:p w:rsidR="00143E85" w:rsidRDefault="004D6B03" w:rsidP="00F64CFE">
      <w:pPr>
        <w:pStyle w:val="L1-FlLSp12"/>
        <w:spacing w:line="240" w:lineRule="auto"/>
      </w:pPr>
      <w:r w:rsidRPr="004D6B03">
        <w:t xml:space="preserve">Use this log to document </w:t>
      </w:r>
      <w:r>
        <w:t>events</w:t>
      </w:r>
      <w:r w:rsidRPr="004D6B03">
        <w:t xml:space="preserve"> and track reports to the IRB</w:t>
      </w:r>
      <w:r>
        <w:t>. Some, but not all, events require prompt reporting to the IRB as noted in the table below</w:t>
      </w:r>
      <w:r w:rsidR="00143E85">
        <w:t xml:space="preserve">. </w:t>
      </w:r>
      <w:r w:rsidR="0074410B">
        <w:t xml:space="preserve">Use the codes in the table to complete the Event Tracking Log. Add additional rows as necessary. </w:t>
      </w:r>
      <w:r w:rsidR="004622D0" w:rsidRPr="004622D0">
        <w:t xml:space="preserve">Study teams are responsible for maintaining </w:t>
      </w:r>
      <w:r w:rsidR="004622D0">
        <w:t>one continuous</w:t>
      </w:r>
      <w:r w:rsidR="004622D0" w:rsidRPr="004622D0">
        <w:t xml:space="preserve"> log within the overall regulatory </w:t>
      </w:r>
      <w:r w:rsidR="004622D0">
        <w:t xml:space="preserve">binder </w:t>
      </w:r>
      <w:r w:rsidR="004622D0" w:rsidRPr="004622D0">
        <w:t xml:space="preserve">that reflects all </w:t>
      </w:r>
      <w:r w:rsidR="004622D0">
        <w:t>reportable events</w:t>
      </w:r>
      <w:r w:rsidR="004622D0" w:rsidRPr="004622D0">
        <w:t xml:space="preserve"> that have occurred </w:t>
      </w:r>
      <w:r>
        <w:t>i</w:t>
      </w:r>
      <w:r w:rsidR="004622D0" w:rsidRPr="004622D0">
        <w:t xml:space="preserve">n </w:t>
      </w:r>
      <w:r w:rsidR="004622D0">
        <w:t xml:space="preserve">the </w:t>
      </w:r>
      <w:r w:rsidR="004622D0" w:rsidRPr="004622D0">
        <w:t>study.</w:t>
      </w:r>
      <w:r w:rsidR="004622D0">
        <w:t xml:space="preserve"> </w:t>
      </w:r>
      <w:r w:rsidR="004622D0" w:rsidRPr="004622D0">
        <w:rPr>
          <w:b/>
          <w:color w:val="FF0000"/>
        </w:rPr>
        <w:t xml:space="preserve">Please do not </w:t>
      </w:r>
      <w:r w:rsidR="00B3161B">
        <w:rPr>
          <w:b/>
          <w:color w:val="FF0000"/>
        </w:rPr>
        <w:t>enter any</w:t>
      </w:r>
      <w:r w:rsidR="004622D0" w:rsidRPr="004622D0">
        <w:rPr>
          <w:b/>
          <w:color w:val="FF0000"/>
        </w:rPr>
        <w:t xml:space="preserve"> subject identifiable data </w:t>
      </w:r>
      <w:r w:rsidR="00F64CFE">
        <w:rPr>
          <w:b/>
          <w:color w:val="FF0000"/>
        </w:rPr>
        <w:t>in</w:t>
      </w:r>
      <w:r w:rsidR="004622D0" w:rsidRPr="004622D0">
        <w:rPr>
          <w:b/>
          <w:color w:val="FF0000"/>
        </w:rPr>
        <w:t xml:space="preserve"> the log.</w:t>
      </w:r>
    </w:p>
    <w:p w:rsidR="00CB167D" w:rsidRDefault="00CB167D" w:rsidP="00143E85">
      <w:pPr>
        <w:pStyle w:val="L1-FlLSp12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065"/>
        <w:gridCol w:w="6930"/>
        <w:gridCol w:w="3955"/>
      </w:tblGrid>
      <w:tr w:rsidR="00CB167D" w:rsidTr="0047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CB167D" w:rsidRDefault="00CB167D" w:rsidP="00F64CFE">
            <w:pPr>
              <w:pStyle w:val="L1-FlLSp12"/>
            </w:pPr>
            <w:r>
              <w:t>Event Type</w:t>
            </w:r>
          </w:p>
        </w:tc>
        <w:tc>
          <w:tcPr>
            <w:tcW w:w="6930" w:type="dxa"/>
          </w:tcPr>
          <w:p w:rsidR="00CB167D" w:rsidRDefault="00CB167D" w:rsidP="00F64CFE">
            <w:pPr>
              <w:pStyle w:val="L1-FlLSp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 Description</w:t>
            </w:r>
          </w:p>
        </w:tc>
        <w:tc>
          <w:tcPr>
            <w:tcW w:w="3955" w:type="dxa"/>
          </w:tcPr>
          <w:p w:rsidR="00CB167D" w:rsidRDefault="00CB167D" w:rsidP="00F64CFE">
            <w:pPr>
              <w:pStyle w:val="L1-FlLSp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 of IRB Reporting</w:t>
            </w:r>
          </w:p>
        </w:tc>
      </w:tr>
      <w:tr w:rsidR="00CB167D" w:rsidTr="00474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2F2F2" w:themeFill="background1" w:themeFillShade="F2"/>
          </w:tcPr>
          <w:p w:rsidR="00CB167D" w:rsidRPr="009B5007" w:rsidRDefault="00D77AB0" w:rsidP="00D77AB0">
            <w:pPr>
              <w:pStyle w:val="L1-FlLSp12"/>
              <w:spacing w:line="240" w:lineRule="auto"/>
              <w:rPr>
                <w:sz w:val="20"/>
              </w:rPr>
            </w:pPr>
            <w:r>
              <w:rPr>
                <w:color w:val="C00000"/>
                <w:sz w:val="20"/>
              </w:rPr>
              <w:t>NC</w:t>
            </w:r>
            <w:r w:rsidR="00257F28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257F28">
              <w:rPr>
                <w:sz w:val="20"/>
              </w:rPr>
              <w:t xml:space="preserve"> </w:t>
            </w:r>
            <w:r>
              <w:rPr>
                <w:sz w:val="20"/>
              </w:rPr>
              <w:t>Non-Compliance</w:t>
            </w:r>
          </w:p>
        </w:tc>
        <w:tc>
          <w:tcPr>
            <w:tcW w:w="6930" w:type="dxa"/>
            <w:shd w:val="clear" w:color="auto" w:fill="F2F2F2" w:themeFill="background1" w:themeFillShade="F2"/>
          </w:tcPr>
          <w:p w:rsidR="00CB167D" w:rsidRPr="009B5007" w:rsidRDefault="00D77AB0" w:rsidP="00C24F4D">
            <w:pPr>
              <w:pStyle w:val="L1-FlLSp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1258C">
              <w:rPr>
                <w:rFonts w:cstheme="minorHAnsi"/>
                <w:sz w:val="20"/>
              </w:rPr>
              <w:t>A failure to comply with applicable laws, regulations, institutional policies pertaining to the protection of human subjects</w:t>
            </w:r>
            <w:r>
              <w:rPr>
                <w:rFonts w:cstheme="minorHAnsi"/>
                <w:sz w:val="20"/>
              </w:rPr>
              <w:t xml:space="preserve"> or </w:t>
            </w:r>
            <w:r w:rsidRPr="0041258C">
              <w:rPr>
                <w:rFonts w:cstheme="minorHAnsi"/>
                <w:sz w:val="20"/>
              </w:rPr>
              <w:t>with the requirements or determinations of an IRB</w:t>
            </w:r>
            <w:r>
              <w:rPr>
                <w:rFonts w:cstheme="minorHAnsi"/>
                <w:sz w:val="20"/>
              </w:rPr>
              <w:t>;</w:t>
            </w:r>
            <w:r w:rsidRPr="0041258C">
              <w:rPr>
                <w:rFonts w:cstheme="minorHAnsi"/>
                <w:sz w:val="20"/>
              </w:rPr>
              <w:t xml:space="preserve"> and/or </w:t>
            </w:r>
            <w:r>
              <w:rPr>
                <w:rFonts w:cstheme="minorHAnsi"/>
                <w:sz w:val="20"/>
              </w:rPr>
              <w:t>a</w:t>
            </w:r>
            <w:r w:rsidRPr="0041258C">
              <w:rPr>
                <w:rFonts w:cstheme="minorHAnsi"/>
                <w:sz w:val="20"/>
              </w:rPr>
              <w:t xml:space="preserve">n accidental or unintentional departure from the IRB-approved procedures without prior sponsor or IRB approval </w:t>
            </w:r>
            <w:r>
              <w:rPr>
                <w:rFonts w:cstheme="minorHAnsi"/>
                <w:sz w:val="20"/>
              </w:rPr>
              <w:t>(i.e., protocol deviation); that</w:t>
            </w:r>
            <w:r w:rsidRPr="0041258C">
              <w:rPr>
                <w:rFonts w:cstheme="minorHAnsi"/>
                <w:sz w:val="20"/>
              </w:rPr>
              <w:t xml:space="preserve">, in the investigator's judgment, </w:t>
            </w:r>
            <w:r w:rsidRPr="0041258C">
              <w:rPr>
                <w:rFonts w:cstheme="minorHAnsi"/>
                <w:b/>
                <w:sz w:val="20"/>
              </w:rPr>
              <w:t>DOES NOT</w:t>
            </w:r>
            <w:r w:rsidRPr="0041258C">
              <w:rPr>
                <w:rFonts w:cstheme="minorHAnsi"/>
                <w:sz w:val="20"/>
              </w:rPr>
              <w:t xml:space="preserve"> adversely affect the risk/benefit ratio of the study; the rights, safety, or welfare of the participants or others; or the integrity of the study</w:t>
            </w:r>
            <w:r>
              <w:rPr>
                <w:rFonts w:cstheme="minorHAnsi"/>
                <w:sz w:val="20"/>
              </w:rPr>
              <w:t>/data</w:t>
            </w:r>
            <w:r w:rsidRPr="0041258C">
              <w:rPr>
                <w:rFonts w:cstheme="minorHAnsi"/>
                <w:sz w:val="20"/>
              </w:rPr>
              <w:t xml:space="preserve">. </w:t>
            </w:r>
            <w:r w:rsidR="009B5007" w:rsidRPr="009B5007">
              <w:rPr>
                <w:sz w:val="20"/>
              </w:rPr>
              <w:t xml:space="preserve">Examples of </w:t>
            </w:r>
            <w:r>
              <w:rPr>
                <w:sz w:val="20"/>
              </w:rPr>
              <w:t>NC and protocol</w:t>
            </w:r>
            <w:r w:rsidR="009B5007" w:rsidRPr="009B5007">
              <w:rPr>
                <w:sz w:val="20"/>
              </w:rPr>
              <w:t xml:space="preserve"> deviations </w:t>
            </w:r>
            <w:proofErr w:type="gramStart"/>
            <w:r w:rsidR="009B5007" w:rsidRPr="009B5007">
              <w:rPr>
                <w:sz w:val="20"/>
              </w:rPr>
              <w:t>are found</w:t>
            </w:r>
            <w:proofErr w:type="gramEnd"/>
            <w:r w:rsidR="009B5007" w:rsidRPr="009B5007">
              <w:rPr>
                <w:sz w:val="20"/>
              </w:rPr>
              <w:t xml:space="preserve"> </w:t>
            </w:r>
            <w:hyperlink r:id="rId8" w:history="1">
              <w:r w:rsidR="009B5007" w:rsidRPr="007E3E88">
                <w:rPr>
                  <w:rStyle w:val="Hyperlink"/>
                  <w:sz w:val="20"/>
                </w:rPr>
                <w:t>here</w:t>
              </w:r>
            </w:hyperlink>
            <w:r w:rsidR="00282BDA" w:rsidRPr="007E3E88">
              <w:rPr>
                <w:sz w:val="20"/>
              </w:rPr>
              <w:t>.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:rsidR="00CB167D" w:rsidRPr="009B5007" w:rsidRDefault="00257F28" w:rsidP="00D77AB0">
            <w:pPr>
              <w:pStyle w:val="L1-FlLSp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20DAF">
              <w:rPr>
                <w:b/>
                <w:color w:val="C00000"/>
                <w:sz w:val="20"/>
              </w:rPr>
              <w:t>CR</w:t>
            </w:r>
            <w:r w:rsidR="00EC3CE5">
              <w:rPr>
                <w:b/>
                <w:color w:val="C00000"/>
                <w:sz w:val="20"/>
              </w:rPr>
              <w:t>/SU</w:t>
            </w:r>
            <w:r>
              <w:rPr>
                <w:sz w:val="20"/>
              </w:rPr>
              <w:t xml:space="preserve"> - </w:t>
            </w:r>
            <w:r w:rsidR="00282BDA">
              <w:rPr>
                <w:sz w:val="20"/>
              </w:rPr>
              <w:t xml:space="preserve">Submit consolidated log as an attachment when submitting next </w:t>
            </w:r>
            <w:r w:rsidR="00282BDA" w:rsidRPr="00257F28">
              <w:rPr>
                <w:b/>
                <w:sz w:val="20"/>
              </w:rPr>
              <w:t>Continuing Review Application</w:t>
            </w:r>
            <w:r>
              <w:rPr>
                <w:b/>
                <w:sz w:val="20"/>
              </w:rPr>
              <w:t xml:space="preserve"> (or Status </w:t>
            </w:r>
            <w:r w:rsidR="00EC3CE5">
              <w:rPr>
                <w:b/>
                <w:sz w:val="20"/>
              </w:rPr>
              <w:t xml:space="preserve">Update </w:t>
            </w:r>
            <w:r w:rsidR="00D77AB0">
              <w:rPr>
                <w:b/>
                <w:sz w:val="20"/>
              </w:rPr>
              <w:t>Report</w:t>
            </w:r>
            <w:r>
              <w:rPr>
                <w:b/>
                <w:sz w:val="20"/>
              </w:rPr>
              <w:t>)</w:t>
            </w:r>
            <w:r w:rsidR="00282BDA">
              <w:rPr>
                <w:sz w:val="20"/>
              </w:rPr>
              <w:t xml:space="preserve">. Consolidated log should contain only </w:t>
            </w:r>
            <w:r>
              <w:rPr>
                <w:sz w:val="20"/>
              </w:rPr>
              <w:t xml:space="preserve">those </w:t>
            </w:r>
            <w:r w:rsidR="00282BDA">
              <w:rPr>
                <w:sz w:val="20"/>
              </w:rPr>
              <w:t>events occurring during the applicable approval period and not previously submitted to the IRB</w:t>
            </w:r>
            <w:r w:rsidRPr="00C24F4D">
              <w:rPr>
                <w:b/>
                <w:color w:val="008000"/>
                <w:sz w:val="20"/>
              </w:rPr>
              <w:t>.</w:t>
            </w:r>
            <w:r w:rsidR="00C24F4D" w:rsidRPr="00C24F4D">
              <w:rPr>
                <w:b/>
                <w:color w:val="008000"/>
                <w:sz w:val="20"/>
              </w:rPr>
              <w:t xml:space="preserve"> </w:t>
            </w:r>
            <w:r w:rsidR="00C24F4D" w:rsidRPr="00C24F4D">
              <w:rPr>
                <w:color w:val="7030A0"/>
                <w:sz w:val="20"/>
              </w:rPr>
              <w:t xml:space="preserve">In </w:t>
            </w:r>
            <w:proofErr w:type="spellStart"/>
            <w:r w:rsidR="00C24F4D" w:rsidRPr="00C24F4D">
              <w:rPr>
                <w:color w:val="7030A0"/>
                <w:sz w:val="20"/>
              </w:rPr>
              <w:t>Kuali</w:t>
            </w:r>
            <w:proofErr w:type="spellEnd"/>
            <w:r w:rsidR="00C24F4D" w:rsidRPr="00C24F4D">
              <w:rPr>
                <w:color w:val="7030A0"/>
                <w:sz w:val="20"/>
              </w:rPr>
              <w:t xml:space="preserve"> Research, use the </w:t>
            </w:r>
            <w:r w:rsidR="00C24F4D" w:rsidRPr="00C24F4D">
              <w:rPr>
                <w:i/>
                <w:color w:val="7030A0"/>
                <w:sz w:val="20"/>
              </w:rPr>
              <w:t>Renew</w:t>
            </w:r>
            <w:r w:rsidR="00C24F4D" w:rsidRPr="00C24F4D">
              <w:rPr>
                <w:color w:val="7030A0"/>
                <w:sz w:val="20"/>
              </w:rPr>
              <w:t xml:space="preserve"> function to submit CR/SUs.</w:t>
            </w:r>
          </w:p>
        </w:tc>
      </w:tr>
      <w:tr w:rsidR="00CB167D" w:rsidTr="0047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CB167D" w:rsidRPr="009B5007" w:rsidRDefault="00D77AB0" w:rsidP="00D77AB0">
            <w:pPr>
              <w:pStyle w:val="L1-FlLSp12"/>
              <w:spacing w:line="240" w:lineRule="auto"/>
              <w:rPr>
                <w:sz w:val="20"/>
              </w:rPr>
            </w:pPr>
            <w:r>
              <w:rPr>
                <w:color w:val="C00000"/>
                <w:sz w:val="20"/>
              </w:rPr>
              <w:t>SNC</w:t>
            </w:r>
            <w:r w:rsidR="00257F28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257F28">
              <w:rPr>
                <w:sz w:val="20"/>
              </w:rPr>
              <w:t xml:space="preserve"> </w:t>
            </w:r>
            <w:r>
              <w:rPr>
                <w:sz w:val="20"/>
              </w:rPr>
              <w:t>Serious Non-Compliance</w:t>
            </w:r>
            <w:r w:rsidR="00CB167D" w:rsidRPr="009B5007">
              <w:rPr>
                <w:sz w:val="20"/>
              </w:rPr>
              <w:t xml:space="preserve"> </w:t>
            </w:r>
          </w:p>
        </w:tc>
        <w:tc>
          <w:tcPr>
            <w:tcW w:w="6930" w:type="dxa"/>
          </w:tcPr>
          <w:p w:rsidR="00CB167D" w:rsidRPr="009B5007" w:rsidRDefault="00D77AB0" w:rsidP="00C24F4D">
            <w:pPr>
              <w:pStyle w:val="L1-FlLSp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1258C">
              <w:rPr>
                <w:rFonts w:cstheme="minorHAnsi"/>
                <w:sz w:val="20"/>
              </w:rPr>
              <w:t>A failure to comply with applicable laws, regulations, institutional policies pertaining to the protection of human subjects</w:t>
            </w:r>
            <w:r>
              <w:rPr>
                <w:rFonts w:cstheme="minorHAnsi"/>
                <w:sz w:val="20"/>
              </w:rPr>
              <w:t xml:space="preserve"> or </w:t>
            </w:r>
            <w:r w:rsidRPr="0041258C">
              <w:rPr>
                <w:rFonts w:cstheme="minorHAnsi"/>
                <w:sz w:val="20"/>
              </w:rPr>
              <w:t>with the requirements or determinations of an IRB</w:t>
            </w:r>
            <w:r>
              <w:rPr>
                <w:rFonts w:cstheme="minorHAnsi"/>
                <w:sz w:val="20"/>
              </w:rPr>
              <w:t>;</w:t>
            </w:r>
            <w:r w:rsidRPr="0041258C">
              <w:rPr>
                <w:rFonts w:cstheme="minorHAnsi"/>
                <w:sz w:val="20"/>
              </w:rPr>
              <w:t xml:space="preserve"> and/or </w:t>
            </w:r>
            <w:r>
              <w:rPr>
                <w:rFonts w:cstheme="minorHAnsi"/>
                <w:sz w:val="20"/>
              </w:rPr>
              <w:t>a</w:t>
            </w:r>
            <w:r w:rsidRPr="0041258C">
              <w:rPr>
                <w:rFonts w:cstheme="minorHAnsi"/>
                <w:sz w:val="20"/>
              </w:rPr>
              <w:t xml:space="preserve">n accidental or unintentional departure from the IRB-approved procedures without prior sponsor or IRB approval </w:t>
            </w:r>
            <w:r>
              <w:rPr>
                <w:rFonts w:cstheme="minorHAnsi"/>
                <w:sz w:val="20"/>
              </w:rPr>
              <w:t>(i.e., protocol deviation); that</w:t>
            </w:r>
            <w:r w:rsidRPr="0041258C">
              <w:rPr>
                <w:rFonts w:cstheme="minorHAnsi"/>
                <w:sz w:val="20"/>
              </w:rPr>
              <w:t xml:space="preserve">, in the investigator's judgment, </w:t>
            </w:r>
            <w:r w:rsidRPr="0041258C">
              <w:rPr>
                <w:rFonts w:cstheme="minorHAnsi"/>
                <w:b/>
                <w:sz w:val="20"/>
              </w:rPr>
              <w:t>DOES</w:t>
            </w:r>
            <w:r w:rsidRPr="0041258C">
              <w:rPr>
                <w:rFonts w:cstheme="minorHAnsi"/>
                <w:sz w:val="20"/>
              </w:rPr>
              <w:t xml:space="preserve"> adversely affect the risk/benefit ratio of the study; the rights, safety, or welfare of the participants or others; or the integrity of the study</w:t>
            </w:r>
            <w:r>
              <w:rPr>
                <w:rFonts w:cstheme="minorHAnsi"/>
                <w:sz w:val="20"/>
              </w:rPr>
              <w:t>/data</w:t>
            </w:r>
            <w:r w:rsidRPr="0041258C">
              <w:rPr>
                <w:rFonts w:cstheme="minorHAnsi"/>
                <w:sz w:val="20"/>
              </w:rPr>
              <w:t>.</w:t>
            </w:r>
            <w:r>
              <w:rPr>
                <w:rFonts w:cstheme="minorHAnsi"/>
                <w:sz w:val="20"/>
              </w:rPr>
              <w:t xml:space="preserve"> </w:t>
            </w:r>
            <w:r w:rsidRPr="009B5007">
              <w:rPr>
                <w:sz w:val="20"/>
              </w:rPr>
              <w:t xml:space="preserve">Examples of </w:t>
            </w:r>
            <w:r>
              <w:rPr>
                <w:sz w:val="20"/>
              </w:rPr>
              <w:t>NC and protocol</w:t>
            </w:r>
            <w:r w:rsidRPr="009B5007">
              <w:rPr>
                <w:sz w:val="20"/>
              </w:rPr>
              <w:t xml:space="preserve"> deviations </w:t>
            </w:r>
            <w:proofErr w:type="gramStart"/>
            <w:r w:rsidRPr="009B5007">
              <w:rPr>
                <w:sz w:val="20"/>
              </w:rPr>
              <w:t>are found</w:t>
            </w:r>
            <w:proofErr w:type="gramEnd"/>
            <w:r w:rsidRPr="009B5007">
              <w:rPr>
                <w:sz w:val="20"/>
              </w:rPr>
              <w:t xml:space="preserve"> </w:t>
            </w:r>
            <w:hyperlink r:id="rId9" w:history="1">
              <w:r w:rsidRPr="007E3E88">
                <w:rPr>
                  <w:rStyle w:val="Hyperlink"/>
                  <w:sz w:val="20"/>
                </w:rPr>
                <w:t>here</w:t>
              </w:r>
            </w:hyperlink>
            <w:r w:rsidRPr="007E3E88">
              <w:rPr>
                <w:sz w:val="20"/>
              </w:rPr>
              <w:t>.</w:t>
            </w:r>
          </w:p>
        </w:tc>
        <w:tc>
          <w:tcPr>
            <w:tcW w:w="3955" w:type="dxa"/>
          </w:tcPr>
          <w:p w:rsidR="00CB167D" w:rsidRDefault="00EC3CE5" w:rsidP="00257F28">
            <w:pPr>
              <w:pStyle w:val="L1-FlLSp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P</w:t>
            </w:r>
            <w:r w:rsidR="00257F28" w:rsidRPr="00820DAF">
              <w:rPr>
                <w:b/>
                <w:color w:val="C00000"/>
                <w:sz w:val="20"/>
              </w:rPr>
              <w:t>RNI</w:t>
            </w:r>
            <w:r w:rsidR="00257F28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257F28">
              <w:rPr>
                <w:sz w:val="20"/>
              </w:rPr>
              <w:t xml:space="preserve"> </w:t>
            </w:r>
            <w:r w:rsidRPr="00257F28">
              <w:rPr>
                <w:b/>
                <w:sz w:val="20"/>
              </w:rPr>
              <w:t xml:space="preserve">Reportable New </w:t>
            </w:r>
            <w:proofErr w:type="gramStart"/>
            <w:r w:rsidRPr="00257F28">
              <w:rPr>
                <w:b/>
                <w:sz w:val="20"/>
              </w:rPr>
              <w:t>Information</w:t>
            </w:r>
            <w:r>
              <w:rPr>
                <w:sz w:val="20"/>
              </w:rPr>
              <w:t xml:space="preserve">  requiring</w:t>
            </w:r>
            <w:proofErr w:type="gramEnd"/>
            <w:r>
              <w:rPr>
                <w:sz w:val="20"/>
              </w:rPr>
              <w:t xml:space="preserve"> </w:t>
            </w:r>
            <w:r w:rsidRPr="00EC3CE5">
              <w:rPr>
                <w:b/>
                <w:sz w:val="20"/>
              </w:rPr>
              <w:t>prompt</w:t>
            </w:r>
            <w:r>
              <w:rPr>
                <w:sz w:val="20"/>
              </w:rPr>
              <w:t xml:space="preserve"> reporting. </w:t>
            </w:r>
            <w:r w:rsidR="00282BDA">
              <w:rPr>
                <w:sz w:val="20"/>
              </w:rPr>
              <w:t xml:space="preserve">Submit within </w:t>
            </w:r>
            <w:r w:rsidRPr="00EC3CE5">
              <w:rPr>
                <w:b/>
                <w:color w:val="C00000"/>
                <w:sz w:val="20"/>
              </w:rPr>
              <w:t xml:space="preserve">3 or </w:t>
            </w:r>
            <w:r w:rsidR="00282BDA" w:rsidRPr="00F64CFE">
              <w:rPr>
                <w:b/>
                <w:color w:val="C00000"/>
                <w:sz w:val="20"/>
              </w:rPr>
              <w:t>5 business days</w:t>
            </w:r>
            <w:r w:rsidR="00257F28" w:rsidRPr="00F64CFE">
              <w:rPr>
                <w:color w:val="C00000"/>
                <w:sz w:val="20"/>
              </w:rPr>
              <w:t xml:space="preserve"> </w:t>
            </w:r>
            <w:r w:rsidR="00257F28">
              <w:rPr>
                <w:sz w:val="20"/>
              </w:rPr>
              <w:t>of becoming aware of the event.</w:t>
            </w:r>
            <w:r w:rsidR="00C24F4D">
              <w:rPr>
                <w:sz w:val="20"/>
              </w:rPr>
              <w:t xml:space="preserve"> </w:t>
            </w:r>
            <w:r w:rsidR="00C24F4D" w:rsidRPr="00C24F4D">
              <w:rPr>
                <w:color w:val="7030A0"/>
                <w:sz w:val="20"/>
              </w:rPr>
              <w:t xml:space="preserve">In </w:t>
            </w:r>
            <w:proofErr w:type="spellStart"/>
            <w:r w:rsidR="00C24F4D" w:rsidRPr="00C24F4D">
              <w:rPr>
                <w:color w:val="7030A0"/>
                <w:sz w:val="20"/>
              </w:rPr>
              <w:t>Kuali</w:t>
            </w:r>
            <w:proofErr w:type="spellEnd"/>
            <w:r w:rsidR="00C24F4D" w:rsidRPr="00C24F4D">
              <w:rPr>
                <w:color w:val="7030A0"/>
                <w:sz w:val="20"/>
              </w:rPr>
              <w:t xml:space="preserve"> Research, use the </w:t>
            </w:r>
            <w:r w:rsidR="00C24F4D" w:rsidRPr="00C24F4D">
              <w:rPr>
                <w:i/>
                <w:color w:val="7030A0"/>
                <w:sz w:val="20"/>
              </w:rPr>
              <w:t>Reportable Events</w:t>
            </w:r>
            <w:r w:rsidR="00C24F4D" w:rsidRPr="00C24F4D">
              <w:rPr>
                <w:color w:val="7030A0"/>
                <w:sz w:val="20"/>
              </w:rPr>
              <w:t xml:space="preserve"> function to submit </w:t>
            </w:r>
            <w:r w:rsidR="00C24F4D">
              <w:rPr>
                <w:color w:val="7030A0"/>
                <w:sz w:val="20"/>
              </w:rPr>
              <w:t>PRNIs</w:t>
            </w:r>
            <w:r w:rsidR="00C24F4D" w:rsidRPr="00C24F4D">
              <w:rPr>
                <w:color w:val="7030A0"/>
                <w:sz w:val="20"/>
              </w:rPr>
              <w:t>.</w:t>
            </w:r>
          </w:p>
          <w:p w:rsidR="00D77AB0" w:rsidRPr="009B5007" w:rsidRDefault="00EC3CE5" w:rsidP="00C24F4D">
            <w:pPr>
              <w:pStyle w:val="L1-FlLSp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MOD</w:t>
            </w:r>
            <w:r w:rsidR="00D77AB0">
              <w:rPr>
                <w:sz w:val="20"/>
              </w:rPr>
              <w:t xml:space="preserve"> – </w:t>
            </w:r>
            <w:r>
              <w:rPr>
                <w:sz w:val="20"/>
              </w:rPr>
              <w:t>Modification</w:t>
            </w:r>
            <w:r w:rsidR="00D77AB0">
              <w:rPr>
                <w:sz w:val="20"/>
              </w:rPr>
              <w:t xml:space="preserve"> application (if applicable)</w:t>
            </w:r>
            <w:r w:rsidR="00C24F4D">
              <w:rPr>
                <w:sz w:val="20"/>
              </w:rPr>
              <w:t xml:space="preserve">; </w:t>
            </w:r>
            <w:r w:rsidR="00C24F4D" w:rsidRPr="00C24F4D">
              <w:rPr>
                <w:color w:val="7030A0"/>
                <w:sz w:val="20"/>
              </w:rPr>
              <w:t xml:space="preserve">In </w:t>
            </w:r>
            <w:proofErr w:type="spellStart"/>
            <w:r w:rsidR="00C24F4D" w:rsidRPr="00C24F4D">
              <w:rPr>
                <w:color w:val="7030A0"/>
                <w:sz w:val="20"/>
              </w:rPr>
              <w:t>Kuali</w:t>
            </w:r>
            <w:proofErr w:type="spellEnd"/>
            <w:r w:rsidR="00C24F4D" w:rsidRPr="00C24F4D">
              <w:rPr>
                <w:color w:val="7030A0"/>
                <w:sz w:val="20"/>
              </w:rPr>
              <w:t xml:space="preserve"> Research, use the </w:t>
            </w:r>
            <w:r w:rsidR="00C24F4D" w:rsidRPr="00C24F4D">
              <w:rPr>
                <w:i/>
                <w:color w:val="7030A0"/>
                <w:sz w:val="20"/>
              </w:rPr>
              <w:t>Amend</w:t>
            </w:r>
            <w:r w:rsidR="00C24F4D" w:rsidRPr="00C24F4D">
              <w:rPr>
                <w:color w:val="7030A0"/>
                <w:sz w:val="20"/>
              </w:rPr>
              <w:t xml:space="preserve"> function to submit </w:t>
            </w:r>
            <w:r w:rsidR="00C24F4D">
              <w:rPr>
                <w:color w:val="7030A0"/>
                <w:sz w:val="20"/>
              </w:rPr>
              <w:t>MODs</w:t>
            </w:r>
            <w:r w:rsidR="00C24F4D" w:rsidRPr="00C24F4D">
              <w:rPr>
                <w:color w:val="7030A0"/>
                <w:sz w:val="20"/>
              </w:rPr>
              <w:t>.</w:t>
            </w:r>
          </w:p>
        </w:tc>
      </w:tr>
      <w:tr w:rsidR="00CB167D" w:rsidTr="00474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2F2F2" w:themeFill="background1" w:themeFillShade="F2"/>
          </w:tcPr>
          <w:p w:rsidR="00CB167D" w:rsidRPr="009B5007" w:rsidRDefault="00257F28" w:rsidP="00820DAF">
            <w:pPr>
              <w:pStyle w:val="L1-FlLSp12"/>
              <w:spacing w:line="240" w:lineRule="auto"/>
              <w:rPr>
                <w:sz w:val="20"/>
              </w:rPr>
            </w:pPr>
            <w:r w:rsidRPr="00820DAF">
              <w:rPr>
                <w:color w:val="C00000"/>
                <w:sz w:val="20"/>
              </w:rPr>
              <w:t>ED</w:t>
            </w:r>
            <w:r>
              <w:rPr>
                <w:sz w:val="20"/>
              </w:rPr>
              <w:t xml:space="preserve"> - </w:t>
            </w:r>
            <w:r w:rsidR="00CB167D" w:rsidRPr="009B5007">
              <w:rPr>
                <w:sz w:val="20"/>
              </w:rPr>
              <w:t>Emergency Deviation</w:t>
            </w:r>
          </w:p>
        </w:tc>
        <w:tc>
          <w:tcPr>
            <w:tcW w:w="6930" w:type="dxa"/>
            <w:shd w:val="clear" w:color="auto" w:fill="F2F2F2" w:themeFill="background1" w:themeFillShade="F2"/>
          </w:tcPr>
          <w:p w:rsidR="00CB167D" w:rsidRPr="009B5007" w:rsidRDefault="009B5007" w:rsidP="00C24F4D">
            <w:pPr>
              <w:pStyle w:val="L1-FlLSp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B5007">
              <w:rPr>
                <w:sz w:val="20"/>
              </w:rPr>
              <w:t>Emergency deviations involve a planned or unplanned departure from the approved protocol to avoid an immediate hazard to the participant. Emergency deviations may occur without time for prospective IRB review and approval.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:rsidR="00CB167D" w:rsidRPr="00257F28" w:rsidRDefault="00EC3CE5" w:rsidP="00143E85">
            <w:pPr>
              <w:pStyle w:val="L1-FlLSp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P</w:t>
            </w:r>
            <w:r w:rsidR="00257F28" w:rsidRPr="00820DAF">
              <w:rPr>
                <w:b/>
                <w:color w:val="C00000"/>
                <w:sz w:val="20"/>
              </w:rPr>
              <w:t>RNI</w:t>
            </w:r>
          </w:p>
        </w:tc>
      </w:tr>
      <w:tr w:rsidR="005D486E" w:rsidTr="00474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5D486E" w:rsidRDefault="005D486E" w:rsidP="00820DAF">
            <w:pPr>
              <w:pStyle w:val="L1-FlLSp12"/>
              <w:spacing w:line="240" w:lineRule="auto"/>
              <w:rPr>
                <w:sz w:val="20"/>
              </w:rPr>
            </w:pPr>
            <w:r w:rsidRPr="00820DAF">
              <w:rPr>
                <w:color w:val="C00000"/>
                <w:sz w:val="20"/>
              </w:rPr>
              <w:t>UP</w:t>
            </w:r>
            <w:r>
              <w:rPr>
                <w:sz w:val="20"/>
              </w:rPr>
              <w:t xml:space="preserve"> – Unanticipated Problem</w:t>
            </w:r>
          </w:p>
        </w:tc>
        <w:tc>
          <w:tcPr>
            <w:tcW w:w="6930" w:type="dxa"/>
          </w:tcPr>
          <w:p w:rsidR="005D486E" w:rsidRDefault="005D486E" w:rsidP="00C24F4D">
            <w:pPr>
              <w:pStyle w:val="L1-FlLSp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5D486E">
              <w:rPr>
                <w:sz w:val="20"/>
              </w:rPr>
              <w:t>ny incident, experience, or outcome that</w:t>
            </w:r>
            <w:r>
              <w:rPr>
                <w:sz w:val="20"/>
              </w:rPr>
              <w:t xml:space="preserve"> (1) is </w:t>
            </w:r>
            <w:r w:rsidRPr="005D486E">
              <w:rPr>
                <w:sz w:val="20"/>
              </w:rPr>
              <w:t>unexpected (in terms of nature, severity, or frequency)</w:t>
            </w:r>
            <w:r>
              <w:rPr>
                <w:sz w:val="20"/>
              </w:rPr>
              <w:t xml:space="preserve">, (2) is </w:t>
            </w:r>
            <w:r w:rsidRPr="005D486E">
              <w:rPr>
                <w:sz w:val="20"/>
              </w:rPr>
              <w:t>related or possibly related to participation in the research</w:t>
            </w:r>
            <w:r>
              <w:rPr>
                <w:sz w:val="20"/>
              </w:rPr>
              <w:t xml:space="preserve">, </w:t>
            </w:r>
            <w:r w:rsidRPr="002D4CD5">
              <w:rPr>
                <w:b/>
                <w:color w:val="00B050"/>
                <w:sz w:val="20"/>
              </w:rPr>
              <w:t>AND</w:t>
            </w:r>
            <w:r>
              <w:rPr>
                <w:sz w:val="20"/>
              </w:rPr>
              <w:t xml:space="preserve"> (3) </w:t>
            </w:r>
            <w:r w:rsidRPr="005D486E">
              <w:rPr>
                <w:sz w:val="20"/>
              </w:rPr>
              <w:t>suggests that the research places subjects or others at a greater risk of harm (including physical, psychological, economic, or social harm) than was previously known or recognized.</w:t>
            </w:r>
          </w:p>
        </w:tc>
        <w:tc>
          <w:tcPr>
            <w:tcW w:w="3955" w:type="dxa"/>
          </w:tcPr>
          <w:p w:rsidR="00820DAF" w:rsidRPr="00257F28" w:rsidRDefault="00EC3CE5" w:rsidP="00C24F4D">
            <w:pPr>
              <w:pStyle w:val="L1-FlLSp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P</w:t>
            </w:r>
            <w:r w:rsidR="00820DAF" w:rsidRPr="00820DAF">
              <w:rPr>
                <w:b/>
                <w:color w:val="C00000"/>
                <w:sz w:val="20"/>
              </w:rPr>
              <w:t>RNI</w:t>
            </w:r>
            <w:r w:rsidR="00820DAF">
              <w:rPr>
                <w:b/>
                <w:color w:val="C00000"/>
                <w:sz w:val="20"/>
              </w:rPr>
              <w:t xml:space="preserve"> </w:t>
            </w:r>
            <w:r w:rsidR="00820DAF" w:rsidRPr="00820DAF">
              <w:rPr>
                <w:sz w:val="20"/>
              </w:rPr>
              <w:t xml:space="preserve">and </w:t>
            </w:r>
            <w:r>
              <w:rPr>
                <w:b/>
                <w:color w:val="C00000"/>
                <w:sz w:val="20"/>
              </w:rPr>
              <w:t>MOD</w:t>
            </w:r>
          </w:p>
        </w:tc>
      </w:tr>
      <w:tr w:rsidR="00CB167D" w:rsidTr="00474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shd w:val="clear" w:color="auto" w:fill="F2F2F2" w:themeFill="background1" w:themeFillShade="F2"/>
          </w:tcPr>
          <w:p w:rsidR="00CB167D" w:rsidRPr="009B5007" w:rsidRDefault="00257F28" w:rsidP="00F64CFE">
            <w:pPr>
              <w:pStyle w:val="L1-FlLSp12"/>
              <w:spacing w:line="240" w:lineRule="auto"/>
              <w:rPr>
                <w:sz w:val="20"/>
              </w:rPr>
            </w:pPr>
            <w:r w:rsidRPr="00820DAF">
              <w:rPr>
                <w:color w:val="C00000"/>
                <w:sz w:val="20"/>
              </w:rPr>
              <w:t>NUP</w:t>
            </w:r>
            <w:r>
              <w:rPr>
                <w:sz w:val="20"/>
              </w:rPr>
              <w:t xml:space="preserve"> - </w:t>
            </w:r>
            <w:r w:rsidR="00CB167D" w:rsidRPr="009B5007">
              <w:rPr>
                <w:sz w:val="20"/>
              </w:rPr>
              <w:t xml:space="preserve">Event that </w:t>
            </w:r>
            <w:r w:rsidR="00F64CFE">
              <w:rPr>
                <w:sz w:val="20"/>
              </w:rPr>
              <w:t>is</w:t>
            </w:r>
            <w:r w:rsidR="00CB167D" w:rsidRPr="009B5007">
              <w:rPr>
                <w:sz w:val="20"/>
              </w:rPr>
              <w:t xml:space="preserve"> NOT </w:t>
            </w:r>
            <w:r w:rsidR="00F64CFE">
              <w:rPr>
                <w:sz w:val="20"/>
              </w:rPr>
              <w:t>an UP</w:t>
            </w:r>
            <w:r w:rsidR="00CB167D" w:rsidRPr="009B5007">
              <w:rPr>
                <w:sz w:val="20"/>
              </w:rPr>
              <w:t xml:space="preserve"> </w:t>
            </w:r>
          </w:p>
        </w:tc>
        <w:tc>
          <w:tcPr>
            <w:tcW w:w="6930" w:type="dxa"/>
            <w:shd w:val="clear" w:color="auto" w:fill="F2F2F2" w:themeFill="background1" w:themeFillShade="F2"/>
          </w:tcPr>
          <w:p w:rsidR="00CB167D" w:rsidRPr="009B5007" w:rsidRDefault="00820DAF" w:rsidP="00C24F4D">
            <w:pPr>
              <w:pStyle w:val="L1-FlLSp12"/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5D486E">
              <w:rPr>
                <w:sz w:val="20"/>
              </w:rPr>
              <w:t xml:space="preserve">ny incident, experience, or outcome </w:t>
            </w:r>
            <w:r>
              <w:rPr>
                <w:sz w:val="20"/>
              </w:rPr>
              <w:t>(including n</w:t>
            </w:r>
            <w:r w:rsidR="00257F28">
              <w:rPr>
                <w:sz w:val="20"/>
              </w:rPr>
              <w:t>on-adverse, a</w:t>
            </w:r>
            <w:r w:rsidR="009B5007" w:rsidRPr="009B5007">
              <w:rPr>
                <w:sz w:val="20"/>
              </w:rPr>
              <w:t xml:space="preserve">dverse and </w:t>
            </w:r>
            <w:r w:rsidR="00257F28">
              <w:rPr>
                <w:sz w:val="20"/>
              </w:rPr>
              <w:t>s</w:t>
            </w:r>
            <w:r w:rsidR="009B5007" w:rsidRPr="009B5007">
              <w:rPr>
                <w:sz w:val="20"/>
              </w:rPr>
              <w:t xml:space="preserve">erious </w:t>
            </w:r>
            <w:r w:rsidR="00257F28">
              <w:rPr>
                <w:sz w:val="20"/>
              </w:rPr>
              <w:t>a</w:t>
            </w:r>
            <w:r w:rsidR="009B5007" w:rsidRPr="009B5007">
              <w:rPr>
                <w:sz w:val="20"/>
              </w:rPr>
              <w:t xml:space="preserve">dverse </w:t>
            </w:r>
            <w:r w:rsidR="00257F28">
              <w:rPr>
                <w:sz w:val="20"/>
              </w:rPr>
              <w:t>e</w:t>
            </w:r>
            <w:r w:rsidR="009B5007" w:rsidRPr="009B5007">
              <w:rPr>
                <w:sz w:val="20"/>
              </w:rPr>
              <w:t>vents</w:t>
            </w:r>
            <w:r>
              <w:rPr>
                <w:sz w:val="20"/>
              </w:rPr>
              <w:t>)</w:t>
            </w:r>
            <w:r w:rsidR="009B5007" w:rsidRPr="009B5007">
              <w:rPr>
                <w:sz w:val="20"/>
              </w:rPr>
              <w:t xml:space="preserve"> that </w:t>
            </w:r>
            <w:r w:rsidRPr="002D4CD5">
              <w:rPr>
                <w:b/>
                <w:color w:val="00B050"/>
                <w:sz w:val="20"/>
              </w:rPr>
              <w:t>DOES</w:t>
            </w:r>
            <w:r w:rsidR="009B5007" w:rsidRPr="002D4CD5">
              <w:rPr>
                <w:b/>
                <w:color w:val="00B050"/>
                <w:sz w:val="20"/>
              </w:rPr>
              <w:t xml:space="preserve"> NOT</w:t>
            </w:r>
            <w:r w:rsidR="009B5007" w:rsidRPr="002D4CD5">
              <w:rPr>
                <w:color w:val="00B050"/>
                <w:sz w:val="20"/>
              </w:rPr>
              <w:t xml:space="preserve"> </w:t>
            </w:r>
            <w:r w:rsidR="009B5007" w:rsidRPr="009B5007">
              <w:rPr>
                <w:sz w:val="20"/>
              </w:rPr>
              <w:t xml:space="preserve">qualify as an </w:t>
            </w:r>
            <w:r w:rsidR="00F64CFE">
              <w:rPr>
                <w:sz w:val="20"/>
              </w:rPr>
              <w:t>UP.</w:t>
            </w:r>
            <w:r w:rsidR="009B5007" w:rsidRPr="009B5007">
              <w:rPr>
                <w:sz w:val="20"/>
              </w:rPr>
              <w:t xml:space="preserve"> </w:t>
            </w:r>
          </w:p>
        </w:tc>
        <w:tc>
          <w:tcPr>
            <w:tcW w:w="3955" w:type="dxa"/>
            <w:shd w:val="clear" w:color="auto" w:fill="F2F2F2" w:themeFill="background1" w:themeFillShade="F2"/>
          </w:tcPr>
          <w:p w:rsidR="00CB167D" w:rsidRPr="00257F28" w:rsidRDefault="00257F28" w:rsidP="00143E85">
            <w:pPr>
              <w:pStyle w:val="L1-FlLSp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820DAF">
              <w:rPr>
                <w:b/>
                <w:color w:val="C00000"/>
                <w:sz w:val="20"/>
              </w:rPr>
              <w:t>CR</w:t>
            </w:r>
            <w:r w:rsidR="00EC3CE5">
              <w:rPr>
                <w:b/>
                <w:color w:val="C00000"/>
                <w:sz w:val="20"/>
              </w:rPr>
              <w:t>/SU</w:t>
            </w:r>
          </w:p>
        </w:tc>
      </w:tr>
    </w:tbl>
    <w:tbl>
      <w:tblPr>
        <w:tblW w:w="5490" w:type="pct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991"/>
        <w:gridCol w:w="899"/>
        <w:gridCol w:w="1172"/>
        <w:gridCol w:w="4408"/>
        <w:gridCol w:w="722"/>
        <w:gridCol w:w="1257"/>
        <w:gridCol w:w="4232"/>
      </w:tblGrid>
      <w:tr w:rsidR="005D486E" w:rsidRPr="00476A53" w:rsidTr="00F64CFE">
        <w:trPr>
          <w:trHeight w:val="730"/>
        </w:trPr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:rsidR="005D486E" w:rsidRPr="00476A53" w:rsidRDefault="005D486E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5D486E" w:rsidRPr="00F839FC" w:rsidRDefault="005D486E" w:rsidP="00EE24F8">
            <w:pPr>
              <w:pStyle w:val="TX-TableText"/>
              <w:spacing w:after="0"/>
              <w:ind w:left="0"/>
            </w:pPr>
            <w:r w:rsidRPr="00F839FC">
              <w:t xml:space="preserve">  </w:t>
            </w:r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  <w:tc>
          <w:tcPr>
            <w:tcW w:w="412" w:type="pct"/>
            <w:tcBorders>
              <w:top w:val="single" w:sz="4" w:space="0" w:color="auto"/>
            </w:tcBorders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  <w:tc>
          <w:tcPr>
            <w:tcW w:w="1550" w:type="pct"/>
            <w:tcBorders>
              <w:top w:val="single" w:sz="4" w:space="0" w:color="auto"/>
            </w:tcBorders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  <w:tc>
          <w:tcPr>
            <w:tcW w:w="1488" w:type="pct"/>
            <w:tcBorders>
              <w:top w:val="single" w:sz="4" w:space="0" w:color="auto"/>
            </w:tcBorders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</w:tr>
      <w:tr w:rsidR="005D486E" w:rsidRPr="00476A53" w:rsidTr="00F64CFE">
        <w:trPr>
          <w:trHeight w:val="730"/>
        </w:trPr>
        <w:tc>
          <w:tcPr>
            <w:tcW w:w="189" w:type="pct"/>
            <w:vAlign w:val="center"/>
          </w:tcPr>
          <w:p w:rsidR="005D486E" w:rsidRPr="00476A53" w:rsidRDefault="005D486E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2</w:t>
            </w:r>
          </w:p>
        </w:tc>
        <w:tc>
          <w:tcPr>
            <w:tcW w:w="348" w:type="pct"/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  <w:tc>
          <w:tcPr>
            <w:tcW w:w="316" w:type="pct"/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  <w:tc>
          <w:tcPr>
            <w:tcW w:w="412" w:type="pct"/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  <w:tc>
          <w:tcPr>
            <w:tcW w:w="1550" w:type="pct"/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  <w:tc>
          <w:tcPr>
            <w:tcW w:w="254" w:type="pct"/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  <w:tc>
          <w:tcPr>
            <w:tcW w:w="442" w:type="pct"/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  <w:tc>
          <w:tcPr>
            <w:tcW w:w="1488" w:type="pct"/>
            <w:vAlign w:val="center"/>
          </w:tcPr>
          <w:p w:rsidR="005D486E" w:rsidRPr="00F839FC" w:rsidRDefault="005D486E" w:rsidP="00EE24F8">
            <w:r w:rsidRPr="00F839FC">
              <w:t xml:space="preserve">  </w:t>
            </w:r>
          </w:p>
        </w:tc>
      </w:tr>
      <w:tr w:rsidR="00EE24F8" w:rsidRPr="00476A53" w:rsidTr="00F64CFE">
        <w:trPr>
          <w:trHeight w:val="720"/>
        </w:trPr>
        <w:tc>
          <w:tcPr>
            <w:tcW w:w="189" w:type="pct"/>
            <w:vAlign w:val="center"/>
          </w:tcPr>
          <w:p w:rsidR="00BD594E" w:rsidRPr="00476A53" w:rsidRDefault="00BD594E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3</w:t>
            </w:r>
          </w:p>
        </w:tc>
        <w:tc>
          <w:tcPr>
            <w:tcW w:w="348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316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412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1550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254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442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1488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</w:tr>
      <w:tr w:rsidR="00EE24F8" w:rsidRPr="00476A53" w:rsidTr="00F64CFE">
        <w:trPr>
          <w:trHeight w:val="720"/>
        </w:trPr>
        <w:tc>
          <w:tcPr>
            <w:tcW w:w="189" w:type="pct"/>
            <w:vAlign w:val="center"/>
          </w:tcPr>
          <w:p w:rsidR="00BD594E" w:rsidRPr="00476A53" w:rsidRDefault="00BD594E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4</w:t>
            </w:r>
          </w:p>
        </w:tc>
        <w:tc>
          <w:tcPr>
            <w:tcW w:w="348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316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412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1550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254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442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1488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</w:tr>
      <w:tr w:rsidR="00EE24F8" w:rsidRPr="00476A53" w:rsidTr="00F64CFE">
        <w:trPr>
          <w:trHeight w:val="720"/>
        </w:trPr>
        <w:tc>
          <w:tcPr>
            <w:tcW w:w="189" w:type="pct"/>
            <w:vAlign w:val="center"/>
          </w:tcPr>
          <w:p w:rsidR="00BD594E" w:rsidRPr="00476A53" w:rsidRDefault="00BD594E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5</w:t>
            </w:r>
          </w:p>
        </w:tc>
        <w:tc>
          <w:tcPr>
            <w:tcW w:w="348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316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412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1550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254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442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1488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</w:tr>
      <w:tr w:rsidR="00EE24F8" w:rsidRPr="00476A53" w:rsidTr="00F64CFE">
        <w:trPr>
          <w:trHeight w:val="720"/>
        </w:trPr>
        <w:tc>
          <w:tcPr>
            <w:tcW w:w="189" w:type="pct"/>
            <w:vAlign w:val="center"/>
          </w:tcPr>
          <w:p w:rsidR="00BD594E" w:rsidRPr="00476A53" w:rsidRDefault="00BD594E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6</w:t>
            </w:r>
          </w:p>
        </w:tc>
        <w:tc>
          <w:tcPr>
            <w:tcW w:w="348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316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412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1550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254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442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1488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</w:tr>
      <w:tr w:rsidR="00EE24F8" w:rsidRPr="00476A53" w:rsidTr="00F64CFE">
        <w:trPr>
          <w:trHeight w:val="720"/>
        </w:trPr>
        <w:tc>
          <w:tcPr>
            <w:tcW w:w="189" w:type="pct"/>
            <w:vAlign w:val="center"/>
          </w:tcPr>
          <w:p w:rsidR="00BD594E" w:rsidRPr="00476A53" w:rsidRDefault="00EE24F8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7</w:t>
            </w:r>
          </w:p>
        </w:tc>
        <w:tc>
          <w:tcPr>
            <w:tcW w:w="348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316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412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1550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254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442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  <w:tc>
          <w:tcPr>
            <w:tcW w:w="1488" w:type="pct"/>
            <w:vAlign w:val="center"/>
          </w:tcPr>
          <w:p w:rsidR="00BD594E" w:rsidRPr="00F839FC" w:rsidRDefault="00BD594E" w:rsidP="00EE24F8">
            <w:r w:rsidRPr="00F839FC">
              <w:t xml:space="preserve">  </w:t>
            </w:r>
          </w:p>
        </w:tc>
      </w:tr>
      <w:tr w:rsidR="002F3522" w:rsidRPr="00476A53" w:rsidTr="00F64CFE">
        <w:trPr>
          <w:trHeight w:val="720"/>
        </w:trPr>
        <w:tc>
          <w:tcPr>
            <w:tcW w:w="189" w:type="pct"/>
            <w:vAlign w:val="center"/>
          </w:tcPr>
          <w:p w:rsidR="002F3522" w:rsidRDefault="002F3522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8</w:t>
            </w:r>
          </w:p>
        </w:tc>
        <w:tc>
          <w:tcPr>
            <w:tcW w:w="348" w:type="pct"/>
            <w:vAlign w:val="center"/>
          </w:tcPr>
          <w:p w:rsidR="002F3522" w:rsidRPr="00F839FC" w:rsidRDefault="002F3522" w:rsidP="00EE24F8"/>
        </w:tc>
        <w:tc>
          <w:tcPr>
            <w:tcW w:w="316" w:type="pct"/>
            <w:vAlign w:val="center"/>
          </w:tcPr>
          <w:p w:rsidR="002F3522" w:rsidRPr="00F839FC" w:rsidRDefault="002F3522" w:rsidP="00EE24F8"/>
        </w:tc>
        <w:tc>
          <w:tcPr>
            <w:tcW w:w="412" w:type="pct"/>
            <w:vAlign w:val="center"/>
          </w:tcPr>
          <w:p w:rsidR="002F3522" w:rsidRPr="00F839FC" w:rsidRDefault="002F3522" w:rsidP="00EE24F8"/>
        </w:tc>
        <w:tc>
          <w:tcPr>
            <w:tcW w:w="1550" w:type="pct"/>
            <w:vAlign w:val="center"/>
          </w:tcPr>
          <w:p w:rsidR="002F3522" w:rsidRPr="00F839FC" w:rsidRDefault="002F3522" w:rsidP="00EE24F8"/>
        </w:tc>
        <w:tc>
          <w:tcPr>
            <w:tcW w:w="254" w:type="pct"/>
            <w:vAlign w:val="center"/>
          </w:tcPr>
          <w:p w:rsidR="002F3522" w:rsidRPr="00F839FC" w:rsidRDefault="002F3522" w:rsidP="00EE24F8"/>
        </w:tc>
        <w:tc>
          <w:tcPr>
            <w:tcW w:w="442" w:type="pct"/>
            <w:vAlign w:val="center"/>
          </w:tcPr>
          <w:p w:rsidR="002F3522" w:rsidRPr="00F839FC" w:rsidRDefault="002F3522" w:rsidP="00EE24F8"/>
        </w:tc>
        <w:tc>
          <w:tcPr>
            <w:tcW w:w="1488" w:type="pct"/>
            <w:vAlign w:val="center"/>
          </w:tcPr>
          <w:p w:rsidR="002F3522" w:rsidRPr="00F839FC" w:rsidRDefault="002F3522" w:rsidP="00EE24F8"/>
        </w:tc>
      </w:tr>
      <w:tr w:rsidR="002F3522" w:rsidRPr="00476A53" w:rsidTr="00F64CFE">
        <w:trPr>
          <w:trHeight w:val="720"/>
        </w:trPr>
        <w:tc>
          <w:tcPr>
            <w:tcW w:w="189" w:type="pct"/>
            <w:vAlign w:val="center"/>
          </w:tcPr>
          <w:p w:rsidR="002F3522" w:rsidRDefault="002F3522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9</w:t>
            </w:r>
          </w:p>
        </w:tc>
        <w:tc>
          <w:tcPr>
            <w:tcW w:w="348" w:type="pct"/>
            <w:vAlign w:val="center"/>
          </w:tcPr>
          <w:p w:rsidR="002F3522" w:rsidRPr="00F839FC" w:rsidRDefault="002F3522" w:rsidP="00EE24F8"/>
        </w:tc>
        <w:tc>
          <w:tcPr>
            <w:tcW w:w="316" w:type="pct"/>
            <w:vAlign w:val="center"/>
          </w:tcPr>
          <w:p w:rsidR="002F3522" w:rsidRPr="00F839FC" w:rsidRDefault="002F3522" w:rsidP="00EE24F8"/>
        </w:tc>
        <w:tc>
          <w:tcPr>
            <w:tcW w:w="412" w:type="pct"/>
            <w:vAlign w:val="center"/>
          </w:tcPr>
          <w:p w:rsidR="002F3522" w:rsidRPr="00F839FC" w:rsidRDefault="002F3522" w:rsidP="00EE24F8"/>
        </w:tc>
        <w:tc>
          <w:tcPr>
            <w:tcW w:w="1550" w:type="pct"/>
            <w:vAlign w:val="center"/>
          </w:tcPr>
          <w:p w:rsidR="002F3522" w:rsidRPr="00F839FC" w:rsidRDefault="002F3522" w:rsidP="00EE24F8"/>
        </w:tc>
        <w:tc>
          <w:tcPr>
            <w:tcW w:w="254" w:type="pct"/>
            <w:vAlign w:val="center"/>
          </w:tcPr>
          <w:p w:rsidR="002F3522" w:rsidRPr="00F839FC" w:rsidRDefault="002F3522" w:rsidP="00EE24F8"/>
        </w:tc>
        <w:tc>
          <w:tcPr>
            <w:tcW w:w="442" w:type="pct"/>
            <w:vAlign w:val="center"/>
          </w:tcPr>
          <w:p w:rsidR="002F3522" w:rsidRPr="00F839FC" w:rsidRDefault="002F3522" w:rsidP="00EE24F8"/>
        </w:tc>
        <w:tc>
          <w:tcPr>
            <w:tcW w:w="1488" w:type="pct"/>
            <w:vAlign w:val="center"/>
          </w:tcPr>
          <w:p w:rsidR="002F3522" w:rsidRPr="00F839FC" w:rsidRDefault="002F3522" w:rsidP="00EE24F8"/>
        </w:tc>
      </w:tr>
      <w:tr w:rsidR="002F3522" w:rsidRPr="00476A53" w:rsidTr="00F64CFE">
        <w:trPr>
          <w:trHeight w:val="720"/>
        </w:trPr>
        <w:tc>
          <w:tcPr>
            <w:tcW w:w="189" w:type="pct"/>
            <w:vAlign w:val="center"/>
          </w:tcPr>
          <w:p w:rsidR="002F3522" w:rsidRDefault="002F3522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10</w:t>
            </w:r>
          </w:p>
        </w:tc>
        <w:tc>
          <w:tcPr>
            <w:tcW w:w="348" w:type="pct"/>
            <w:vAlign w:val="center"/>
          </w:tcPr>
          <w:p w:rsidR="002F3522" w:rsidRPr="00F839FC" w:rsidRDefault="002F3522" w:rsidP="00EE24F8"/>
        </w:tc>
        <w:tc>
          <w:tcPr>
            <w:tcW w:w="316" w:type="pct"/>
            <w:vAlign w:val="center"/>
          </w:tcPr>
          <w:p w:rsidR="002F3522" w:rsidRPr="00F839FC" w:rsidRDefault="002F3522" w:rsidP="00EE24F8"/>
        </w:tc>
        <w:tc>
          <w:tcPr>
            <w:tcW w:w="412" w:type="pct"/>
            <w:vAlign w:val="center"/>
          </w:tcPr>
          <w:p w:rsidR="002F3522" w:rsidRPr="00F839FC" w:rsidRDefault="002F3522" w:rsidP="00EE24F8"/>
        </w:tc>
        <w:tc>
          <w:tcPr>
            <w:tcW w:w="1550" w:type="pct"/>
            <w:vAlign w:val="center"/>
          </w:tcPr>
          <w:p w:rsidR="002F3522" w:rsidRPr="00F839FC" w:rsidRDefault="002F3522" w:rsidP="00EE24F8"/>
        </w:tc>
        <w:tc>
          <w:tcPr>
            <w:tcW w:w="254" w:type="pct"/>
            <w:vAlign w:val="center"/>
          </w:tcPr>
          <w:p w:rsidR="002F3522" w:rsidRPr="00F839FC" w:rsidRDefault="002F3522" w:rsidP="00EE24F8"/>
        </w:tc>
        <w:tc>
          <w:tcPr>
            <w:tcW w:w="442" w:type="pct"/>
            <w:vAlign w:val="center"/>
          </w:tcPr>
          <w:p w:rsidR="002F3522" w:rsidRPr="00F839FC" w:rsidRDefault="002F3522" w:rsidP="00EE24F8"/>
        </w:tc>
        <w:tc>
          <w:tcPr>
            <w:tcW w:w="1488" w:type="pct"/>
            <w:vAlign w:val="center"/>
          </w:tcPr>
          <w:p w:rsidR="002F3522" w:rsidRPr="00F839FC" w:rsidRDefault="002F3522" w:rsidP="00EE24F8"/>
        </w:tc>
      </w:tr>
      <w:tr w:rsidR="002F3522" w:rsidRPr="00476A53" w:rsidTr="00F64CFE">
        <w:trPr>
          <w:trHeight w:val="720"/>
        </w:trPr>
        <w:tc>
          <w:tcPr>
            <w:tcW w:w="189" w:type="pct"/>
            <w:vAlign w:val="center"/>
          </w:tcPr>
          <w:p w:rsidR="002F3522" w:rsidRDefault="002F3522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lastRenderedPageBreak/>
              <w:t>11</w:t>
            </w:r>
          </w:p>
        </w:tc>
        <w:tc>
          <w:tcPr>
            <w:tcW w:w="348" w:type="pct"/>
            <w:vAlign w:val="center"/>
          </w:tcPr>
          <w:p w:rsidR="002F3522" w:rsidRPr="00F839FC" w:rsidRDefault="002F3522" w:rsidP="00EE24F8"/>
        </w:tc>
        <w:tc>
          <w:tcPr>
            <w:tcW w:w="316" w:type="pct"/>
            <w:vAlign w:val="center"/>
          </w:tcPr>
          <w:p w:rsidR="002F3522" w:rsidRPr="00F839FC" w:rsidRDefault="002F3522" w:rsidP="00EE24F8"/>
        </w:tc>
        <w:tc>
          <w:tcPr>
            <w:tcW w:w="412" w:type="pct"/>
            <w:vAlign w:val="center"/>
          </w:tcPr>
          <w:p w:rsidR="002F3522" w:rsidRPr="00F839FC" w:rsidRDefault="002F3522" w:rsidP="00EE24F8"/>
        </w:tc>
        <w:tc>
          <w:tcPr>
            <w:tcW w:w="1550" w:type="pct"/>
            <w:vAlign w:val="center"/>
          </w:tcPr>
          <w:p w:rsidR="002F3522" w:rsidRPr="00F839FC" w:rsidRDefault="002F3522" w:rsidP="00EE24F8"/>
        </w:tc>
        <w:tc>
          <w:tcPr>
            <w:tcW w:w="254" w:type="pct"/>
            <w:vAlign w:val="center"/>
          </w:tcPr>
          <w:p w:rsidR="002F3522" w:rsidRPr="00F839FC" w:rsidRDefault="002F3522" w:rsidP="00EE24F8"/>
        </w:tc>
        <w:tc>
          <w:tcPr>
            <w:tcW w:w="442" w:type="pct"/>
            <w:vAlign w:val="center"/>
          </w:tcPr>
          <w:p w:rsidR="002F3522" w:rsidRPr="00F839FC" w:rsidRDefault="002F3522" w:rsidP="00EE24F8"/>
        </w:tc>
        <w:tc>
          <w:tcPr>
            <w:tcW w:w="1488" w:type="pct"/>
            <w:vAlign w:val="center"/>
          </w:tcPr>
          <w:p w:rsidR="002F3522" w:rsidRPr="00F839FC" w:rsidRDefault="002F3522" w:rsidP="00EE24F8"/>
        </w:tc>
      </w:tr>
      <w:tr w:rsidR="002F3522" w:rsidRPr="00476A53" w:rsidTr="00F64CFE">
        <w:trPr>
          <w:trHeight w:val="720"/>
        </w:trPr>
        <w:tc>
          <w:tcPr>
            <w:tcW w:w="189" w:type="pct"/>
            <w:vAlign w:val="center"/>
          </w:tcPr>
          <w:p w:rsidR="002F3522" w:rsidRDefault="002F3522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12</w:t>
            </w:r>
          </w:p>
        </w:tc>
        <w:tc>
          <w:tcPr>
            <w:tcW w:w="348" w:type="pct"/>
            <w:vAlign w:val="center"/>
          </w:tcPr>
          <w:p w:rsidR="002F3522" w:rsidRPr="00F839FC" w:rsidRDefault="002F3522" w:rsidP="00EE24F8"/>
        </w:tc>
        <w:tc>
          <w:tcPr>
            <w:tcW w:w="316" w:type="pct"/>
            <w:vAlign w:val="center"/>
          </w:tcPr>
          <w:p w:rsidR="002F3522" w:rsidRPr="00F839FC" w:rsidRDefault="002F3522" w:rsidP="00EE24F8"/>
        </w:tc>
        <w:tc>
          <w:tcPr>
            <w:tcW w:w="412" w:type="pct"/>
            <w:vAlign w:val="center"/>
          </w:tcPr>
          <w:p w:rsidR="002F3522" w:rsidRPr="00F839FC" w:rsidRDefault="002F3522" w:rsidP="00EE24F8"/>
        </w:tc>
        <w:tc>
          <w:tcPr>
            <w:tcW w:w="1550" w:type="pct"/>
            <w:vAlign w:val="center"/>
          </w:tcPr>
          <w:p w:rsidR="002F3522" w:rsidRPr="00F839FC" w:rsidRDefault="002F3522" w:rsidP="00EE24F8"/>
        </w:tc>
        <w:tc>
          <w:tcPr>
            <w:tcW w:w="254" w:type="pct"/>
            <w:vAlign w:val="center"/>
          </w:tcPr>
          <w:p w:rsidR="002F3522" w:rsidRPr="00F839FC" w:rsidRDefault="002F3522" w:rsidP="00EE24F8"/>
        </w:tc>
        <w:tc>
          <w:tcPr>
            <w:tcW w:w="442" w:type="pct"/>
            <w:vAlign w:val="center"/>
          </w:tcPr>
          <w:p w:rsidR="002F3522" w:rsidRPr="00F839FC" w:rsidRDefault="002F3522" w:rsidP="00EE24F8"/>
        </w:tc>
        <w:tc>
          <w:tcPr>
            <w:tcW w:w="1488" w:type="pct"/>
            <w:vAlign w:val="center"/>
          </w:tcPr>
          <w:p w:rsidR="002F3522" w:rsidRPr="00F839FC" w:rsidRDefault="002F3522" w:rsidP="00EE24F8"/>
        </w:tc>
      </w:tr>
      <w:tr w:rsidR="00B3161B" w:rsidRPr="00476A53" w:rsidTr="00F64CFE">
        <w:trPr>
          <w:trHeight w:val="720"/>
        </w:trPr>
        <w:tc>
          <w:tcPr>
            <w:tcW w:w="189" w:type="pct"/>
            <w:vAlign w:val="center"/>
          </w:tcPr>
          <w:p w:rsidR="00B3161B" w:rsidRDefault="00B3161B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13</w:t>
            </w:r>
          </w:p>
        </w:tc>
        <w:tc>
          <w:tcPr>
            <w:tcW w:w="348" w:type="pct"/>
            <w:vAlign w:val="center"/>
          </w:tcPr>
          <w:p w:rsidR="00B3161B" w:rsidRPr="00F839FC" w:rsidRDefault="00B3161B" w:rsidP="00EE24F8"/>
        </w:tc>
        <w:tc>
          <w:tcPr>
            <w:tcW w:w="316" w:type="pct"/>
            <w:vAlign w:val="center"/>
          </w:tcPr>
          <w:p w:rsidR="00B3161B" w:rsidRPr="00F839FC" w:rsidRDefault="00B3161B" w:rsidP="00EE24F8"/>
        </w:tc>
        <w:tc>
          <w:tcPr>
            <w:tcW w:w="412" w:type="pct"/>
            <w:vAlign w:val="center"/>
          </w:tcPr>
          <w:p w:rsidR="00B3161B" w:rsidRPr="00F839FC" w:rsidRDefault="00B3161B" w:rsidP="00EE24F8"/>
        </w:tc>
        <w:tc>
          <w:tcPr>
            <w:tcW w:w="1550" w:type="pct"/>
            <w:vAlign w:val="center"/>
          </w:tcPr>
          <w:p w:rsidR="00B3161B" w:rsidRPr="00F839FC" w:rsidRDefault="00B3161B" w:rsidP="00EE24F8"/>
        </w:tc>
        <w:tc>
          <w:tcPr>
            <w:tcW w:w="254" w:type="pct"/>
            <w:vAlign w:val="center"/>
          </w:tcPr>
          <w:p w:rsidR="00B3161B" w:rsidRPr="00F839FC" w:rsidRDefault="00B3161B" w:rsidP="00EE24F8"/>
        </w:tc>
        <w:tc>
          <w:tcPr>
            <w:tcW w:w="442" w:type="pct"/>
            <w:vAlign w:val="center"/>
          </w:tcPr>
          <w:p w:rsidR="00B3161B" w:rsidRPr="00F839FC" w:rsidRDefault="00B3161B" w:rsidP="00EE24F8"/>
        </w:tc>
        <w:tc>
          <w:tcPr>
            <w:tcW w:w="1488" w:type="pct"/>
            <w:vAlign w:val="center"/>
          </w:tcPr>
          <w:p w:rsidR="00B3161B" w:rsidRPr="00F839FC" w:rsidRDefault="00B3161B" w:rsidP="00EE24F8"/>
        </w:tc>
      </w:tr>
      <w:tr w:rsidR="00B3161B" w:rsidRPr="00476A53" w:rsidTr="00F64CFE">
        <w:trPr>
          <w:trHeight w:val="720"/>
        </w:trPr>
        <w:tc>
          <w:tcPr>
            <w:tcW w:w="189" w:type="pct"/>
            <w:vAlign w:val="center"/>
          </w:tcPr>
          <w:p w:rsidR="00B3161B" w:rsidRDefault="00B3161B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14</w:t>
            </w:r>
          </w:p>
        </w:tc>
        <w:tc>
          <w:tcPr>
            <w:tcW w:w="348" w:type="pct"/>
            <w:vAlign w:val="center"/>
          </w:tcPr>
          <w:p w:rsidR="00B3161B" w:rsidRPr="00F839FC" w:rsidRDefault="00B3161B" w:rsidP="00EE24F8"/>
        </w:tc>
        <w:tc>
          <w:tcPr>
            <w:tcW w:w="316" w:type="pct"/>
            <w:vAlign w:val="center"/>
          </w:tcPr>
          <w:p w:rsidR="00B3161B" w:rsidRPr="00F839FC" w:rsidRDefault="00B3161B" w:rsidP="00EE24F8"/>
        </w:tc>
        <w:tc>
          <w:tcPr>
            <w:tcW w:w="412" w:type="pct"/>
            <w:vAlign w:val="center"/>
          </w:tcPr>
          <w:p w:rsidR="00B3161B" w:rsidRPr="00F839FC" w:rsidRDefault="00B3161B" w:rsidP="00EE24F8"/>
        </w:tc>
        <w:tc>
          <w:tcPr>
            <w:tcW w:w="1550" w:type="pct"/>
            <w:vAlign w:val="center"/>
          </w:tcPr>
          <w:p w:rsidR="00B3161B" w:rsidRPr="00F839FC" w:rsidRDefault="00B3161B" w:rsidP="00EE24F8"/>
        </w:tc>
        <w:tc>
          <w:tcPr>
            <w:tcW w:w="254" w:type="pct"/>
            <w:vAlign w:val="center"/>
          </w:tcPr>
          <w:p w:rsidR="00B3161B" w:rsidRPr="00F839FC" w:rsidRDefault="00B3161B" w:rsidP="00EE24F8"/>
        </w:tc>
        <w:tc>
          <w:tcPr>
            <w:tcW w:w="442" w:type="pct"/>
            <w:vAlign w:val="center"/>
          </w:tcPr>
          <w:p w:rsidR="00B3161B" w:rsidRPr="00F839FC" w:rsidRDefault="00B3161B" w:rsidP="00EE24F8"/>
        </w:tc>
        <w:tc>
          <w:tcPr>
            <w:tcW w:w="1488" w:type="pct"/>
            <w:vAlign w:val="center"/>
          </w:tcPr>
          <w:p w:rsidR="00B3161B" w:rsidRPr="00F839FC" w:rsidRDefault="00B3161B" w:rsidP="00EE24F8"/>
        </w:tc>
      </w:tr>
      <w:tr w:rsidR="00B3161B" w:rsidRPr="00476A53" w:rsidTr="00F64CFE">
        <w:trPr>
          <w:trHeight w:val="720"/>
        </w:trPr>
        <w:tc>
          <w:tcPr>
            <w:tcW w:w="189" w:type="pct"/>
            <w:vAlign w:val="center"/>
          </w:tcPr>
          <w:p w:rsidR="00B3161B" w:rsidRDefault="00B3161B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15</w:t>
            </w:r>
          </w:p>
        </w:tc>
        <w:tc>
          <w:tcPr>
            <w:tcW w:w="348" w:type="pct"/>
            <w:vAlign w:val="center"/>
          </w:tcPr>
          <w:p w:rsidR="00B3161B" w:rsidRPr="00F839FC" w:rsidRDefault="00B3161B" w:rsidP="00EE24F8"/>
        </w:tc>
        <w:tc>
          <w:tcPr>
            <w:tcW w:w="316" w:type="pct"/>
            <w:vAlign w:val="center"/>
          </w:tcPr>
          <w:p w:rsidR="00B3161B" w:rsidRPr="00F839FC" w:rsidRDefault="00B3161B" w:rsidP="00EE24F8"/>
        </w:tc>
        <w:tc>
          <w:tcPr>
            <w:tcW w:w="412" w:type="pct"/>
            <w:vAlign w:val="center"/>
          </w:tcPr>
          <w:p w:rsidR="00B3161B" w:rsidRPr="00F839FC" w:rsidRDefault="00B3161B" w:rsidP="00EE24F8"/>
        </w:tc>
        <w:tc>
          <w:tcPr>
            <w:tcW w:w="1550" w:type="pct"/>
            <w:vAlign w:val="center"/>
          </w:tcPr>
          <w:p w:rsidR="00B3161B" w:rsidRPr="00F839FC" w:rsidRDefault="00B3161B" w:rsidP="00EE24F8"/>
        </w:tc>
        <w:tc>
          <w:tcPr>
            <w:tcW w:w="254" w:type="pct"/>
            <w:vAlign w:val="center"/>
          </w:tcPr>
          <w:p w:rsidR="00B3161B" w:rsidRPr="00F839FC" w:rsidRDefault="00B3161B" w:rsidP="00EE24F8"/>
        </w:tc>
        <w:tc>
          <w:tcPr>
            <w:tcW w:w="442" w:type="pct"/>
            <w:vAlign w:val="center"/>
          </w:tcPr>
          <w:p w:rsidR="00B3161B" w:rsidRPr="00F839FC" w:rsidRDefault="00B3161B" w:rsidP="00EE24F8"/>
        </w:tc>
        <w:tc>
          <w:tcPr>
            <w:tcW w:w="1488" w:type="pct"/>
            <w:vAlign w:val="center"/>
          </w:tcPr>
          <w:p w:rsidR="00B3161B" w:rsidRPr="00F839FC" w:rsidRDefault="00B3161B" w:rsidP="00EE24F8"/>
        </w:tc>
      </w:tr>
      <w:tr w:rsidR="00B3161B" w:rsidRPr="00476A53" w:rsidTr="00F64CFE">
        <w:trPr>
          <w:trHeight w:val="720"/>
        </w:trPr>
        <w:tc>
          <w:tcPr>
            <w:tcW w:w="189" w:type="pct"/>
            <w:vAlign w:val="center"/>
          </w:tcPr>
          <w:p w:rsidR="00B3161B" w:rsidRDefault="00B3161B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16</w:t>
            </w:r>
          </w:p>
        </w:tc>
        <w:tc>
          <w:tcPr>
            <w:tcW w:w="348" w:type="pct"/>
            <w:vAlign w:val="center"/>
          </w:tcPr>
          <w:p w:rsidR="00B3161B" w:rsidRPr="00F839FC" w:rsidRDefault="00B3161B" w:rsidP="00EE24F8"/>
        </w:tc>
        <w:tc>
          <w:tcPr>
            <w:tcW w:w="316" w:type="pct"/>
            <w:vAlign w:val="center"/>
          </w:tcPr>
          <w:p w:rsidR="00B3161B" w:rsidRPr="00F839FC" w:rsidRDefault="00B3161B" w:rsidP="00EE24F8"/>
        </w:tc>
        <w:tc>
          <w:tcPr>
            <w:tcW w:w="412" w:type="pct"/>
            <w:vAlign w:val="center"/>
          </w:tcPr>
          <w:p w:rsidR="00B3161B" w:rsidRPr="00F839FC" w:rsidRDefault="00B3161B" w:rsidP="00EE24F8"/>
        </w:tc>
        <w:tc>
          <w:tcPr>
            <w:tcW w:w="1550" w:type="pct"/>
            <w:vAlign w:val="center"/>
          </w:tcPr>
          <w:p w:rsidR="00B3161B" w:rsidRPr="00F839FC" w:rsidRDefault="00B3161B" w:rsidP="00EE24F8"/>
        </w:tc>
        <w:tc>
          <w:tcPr>
            <w:tcW w:w="254" w:type="pct"/>
            <w:vAlign w:val="center"/>
          </w:tcPr>
          <w:p w:rsidR="00B3161B" w:rsidRPr="00F839FC" w:rsidRDefault="00B3161B" w:rsidP="00EE24F8"/>
        </w:tc>
        <w:tc>
          <w:tcPr>
            <w:tcW w:w="442" w:type="pct"/>
            <w:vAlign w:val="center"/>
          </w:tcPr>
          <w:p w:rsidR="00B3161B" w:rsidRPr="00F839FC" w:rsidRDefault="00B3161B" w:rsidP="00EE24F8"/>
        </w:tc>
        <w:tc>
          <w:tcPr>
            <w:tcW w:w="1488" w:type="pct"/>
            <w:vAlign w:val="center"/>
          </w:tcPr>
          <w:p w:rsidR="00B3161B" w:rsidRPr="00F839FC" w:rsidRDefault="00B3161B" w:rsidP="00EE24F8"/>
        </w:tc>
      </w:tr>
      <w:tr w:rsidR="00B3161B" w:rsidRPr="00476A53" w:rsidTr="00F64CFE">
        <w:trPr>
          <w:trHeight w:val="720"/>
        </w:trPr>
        <w:tc>
          <w:tcPr>
            <w:tcW w:w="189" w:type="pct"/>
            <w:vAlign w:val="center"/>
          </w:tcPr>
          <w:p w:rsidR="00B3161B" w:rsidRDefault="00B3161B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17</w:t>
            </w:r>
          </w:p>
        </w:tc>
        <w:tc>
          <w:tcPr>
            <w:tcW w:w="348" w:type="pct"/>
            <w:vAlign w:val="center"/>
          </w:tcPr>
          <w:p w:rsidR="00B3161B" w:rsidRPr="00F839FC" w:rsidRDefault="00B3161B" w:rsidP="00EE24F8"/>
        </w:tc>
        <w:tc>
          <w:tcPr>
            <w:tcW w:w="316" w:type="pct"/>
            <w:vAlign w:val="center"/>
          </w:tcPr>
          <w:p w:rsidR="00B3161B" w:rsidRPr="00F839FC" w:rsidRDefault="00B3161B" w:rsidP="00EE24F8"/>
        </w:tc>
        <w:tc>
          <w:tcPr>
            <w:tcW w:w="412" w:type="pct"/>
            <w:vAlign w:val="center"/>
          </w:tcPr>
          <w:p w:rsidR="00B3161B" w:rsidRPr="00F839FC" w:rsidRDefault="00B3161B" w:rsidP="00EE24F8"/>
        </w:tc>
        <w:tc>
          <w:tcPr>
            <w:tcW w:w="1550" w:type="pct"/>
            <w:vAlign w:val="center"/>
          </w:tcPr>
          <w:p w:rsidR="00B3161B" w:rsidRPr="00F839FC" w:rsidRDefault="00B3161B" w:rsidP="00EE24F8"/>
        </w:tc>
        <w:tc>
          <w:tcPr>
            <w:tcW w:w="254" w:type="pct"/>
            <w:vAlign w:val="center"/>
          </w:tcPr>
          <w:p w:rsidR="00B3161B" w:rsidRPr="00F839FC" w:rsidRDefault="00B3161B" w:rsidP="00EE24F8"/>
        </w:tc>
        <w:tc>
          <w:tcPr>
            <w:tcW w:w="442" w:type="pct"/>
            <w:vAlign w:val="center"/>
          </w:tcPr>
          <w:p w:rsidR="00B3161B" w:rsidRPr="00F839FC" w:rsidRDefault="00B3161B" w:rsidP="00EE24F8"/>
        </w:tc>
        <w:tc>
          <w:tcPr>
            <w:tcW w:w="1488" w:type="pct"/>
            <w:vAlign w:val="center"/>
          </w:tcPr>
          <w:p w:rsidR="00B3161B" w:rsidRPr="00F839FC" w:rsidRDefault="00B3161B" w:rsidP="00EE24F8"/>
        </w:tc>
      </w:tr>
      <w:tr w:rsidR="00B3161B" w:rsidRPr="00476A53" w:rsidTr="00F64CFE">
        <w:trPr>
          <w:trHeight w:val="720"/>
        </w:trPr>
        <w:tc>
          <w:tcPr>
            <w:tcW w:w="189" w:type="pct"/>
            <w:vAlign w:val="center"/>
          </w:tcPr>
          <w:p w:rsidR="007A3677" w:rsidRDefault="00B3161B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18</w:t>
            </w:r>
          </w:p>
        </w:tc>
        <w:tc>
          <w:tcPr>
            <w:tcW w:w="348" w:type="pct"/>
            <w:vAlign w:val="center"/>
          </w:tcPr>
          <w:p w:rsidR="00B3161B" w:rsidRPr="00F839FC" w:rsidRDefault="00B3161B" w:rsidP="00EE24F8"/>
        </w:tc>
        <w:tc>
          <w:tcPr>
            <w:tcW w:w="316" w:type="pct"/>
            <w:vAlign w:val="center"/>
          </w:tcPr>
          <w:p w:rsidR="00B3161B" w:rsidRPr="00F839FC" w:rsidRDefault="00B3161B" w:rsidP="00EE24F8"/>
        </w:tc>
        <w:tc>
          <w:tcPr>
            <w:tcW w:w="412" w:type="pct"/>
            <w:vAlign w:val="center"/>
          </w:tcPr>
          <w:p w:rsidR="00B3161B" w:rsidRPr="00F839FC" w:rsidRDefault="00B3161B" w:rsidP="00EE24F8"/>
        </w:tc>
        <w:tc>
          <w:tcPr>
            <w:tcW w:w="1550" w:type="pct"/>
            <w:vAlign w:val="center"/>
          </w:tcPr>
          <w:p w:rsidR="00B3161B" w:rsidRPr="00F839FC" w:rsidRDefault="00B3161B" w:rsidP="00EE24F8"/>
        </w:tc>
        <w:tc>
          <w:tcPr>
            <w:tcW w:w="254" w:type="pct"/>
            <w:vAlign w:val="center"/>
          </w:tcPr>
          <w:p w:rsidR="00B3161B" w:rsidRPr="00F839FC" w:rsidRDefault="00B3161B" w:rsidP="00EE24F8"/>
        </w:tc>
        <w:tc>
          <w:tcPr>
            <w:tcW w:w="442" w:type="pct"/>
            <w:vAlign w:val="center"/>
          </w:tcPr>
          <w:p w:rsidR="00B3161B" w:rsidRPr="00F839FC" w:rsidRDefault="00B3161B" w:rsidP="00EE24F8"/>
        </w:tc>
        <w:tc>
          <w:tcPr>
            <w:tcW w:w="1488" w:type="pct"/>
            <w:vAlign w:val="center"/>
          </w:tcPr>
          <w:p w:rsidR="00B3161B" w:rsidRPr="00F839FC" w:rsidRDefault="00B3161B" w:rsidP="00EE24F8"/>
        </w:tc>
      </w:tr>
      <w:tr w:rsidR="007A3677" w:rsidRPr="00476A53" w:rsidTr="00F64CFE">
        <w:trPr>
          <w:trHeight w:val="720"/>
        </w:trPr>
        <w:tc>
          <w:tcPr>
            <w:tcW w:w="189" w:type="pct"/>
            <w:vAlign w:val="center"/>
          </w:tcPr>
          <w:p w:rsidR="007A3677" w:rsidRDefault="007A3677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19</w:t>
            </w:r>
          </w:p>
        </w:tc>
        <w:tc>
          <w:tcPr>
            <w:tcW w:w="348" w:type="pct"/>
            <w:vAlign w:val="center"/>
          </w:tcPr>
          <w:p w:rsidR="007A3677" w:rsidRPr="00F839FC" w:rsidRDefault="007A3677" w:rsidP="00EE24F8"/>
        </w:tc>
        <w:tc>
          <w:tcPr>
            <w:tcW w:w="316" w:type="pct"/>
            <w:vAlign w:val="center"/>
          </w:tcPr>
          <w:p w:rsidR="007A3677" w:rsidRPr="00F839FC" w:rsidRDefault="007A3677" w:rsidP="00EE24F8"/>
        </w:tc>
        <w:tc>
          <w:tcPr>
            <w:tcW w:w="412" w:type="pct"/>
            <w:vAlign w:val="center"/>
          </w:tcPr>
          <w:p w:rsidR="007A3677" w:rsidRPr="00F839FC" w:rsidRDefault="007A3677" w:rsidP="00EE24F8"/>
        </w:tc>
        <w:tc>
          <w:tcPr>
            <w:tcW w:w="1550" w:type="pct"/>
            <w:vAlign w:val="center"/>
          </w:tcPr>
          <w:p w:rsidR="007A3677" w:rsidRPr="00F839FC" w:rsidRDefault="007A3677" w:rsidP="00EE24F8"/>
        </w:tc>
        <w:tc>
          <w:tcPr>
            <w:tcW w:w="254" w:type="pct"/>
            <w:vAlign w:val="center"/>
          </w:tcPr>
          <w:p w:rsidR="007A3677" w:rsidRPr="00F839FC" w:rsidRDefault="007A3677" w:rsidP="00EE24F8"/>
        </w:tc>
        <w:tc>
          <w:tcPr>
            <w:tcW w:w="442" w:type="pct"/>
            <w:vAlign w:val="center"/>
          </w:tcPr>
          <w:p w:rsidR="007A3677" w:rsidRPr="00F839FC" w:rsidRDefault="007A3677" w:rsidP="00EE24F8"/>
        </w:tc>
        <w:tc>
          <w:tcPr>
            <w:tcW w:w="1488" w:type="pct"/>
            <w:vAlign w:val="center"/>
          </w:tcPr>
          <w:p w:rsidR="007A3677" w:rsidRPr="00F839FC" w:rsidRDefault="007A3677" w:rsidP="00EE24F8"/>
        </w:tc>
      </w:tr>
      <w:tr w:rsidR="007A3677" w:rsidRPr="00476A53" w:rsidTr="00F64CFE">
        <w:trPr>
          <w:trHeight w:val="720"/>
        </w:trPr>
        <w:tc>
          <w:tcPr>
            <w:tcW w:w="189" w:type="pct"/>
            <w:vAlign w:val="center"/>
          </w:tcPr>
          <w:p w:rsidR="007A3677" w:rsidRDefault="007A3677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20</w:t>
            </w:r>
          </w:p>
        </w:tc>
        <w:tc>
          <w:tcPr>
            <w:tcW w:w="348" w:type="pct"/>
            <w:vAlign w:val="center"/>
          </w:tcPr>
          <w:p w:rsidR="007A3677" w:rsidRPr="00F839FC" w:rsidRDefault="007A3677" w:rsidP="00EE24F8"/>
        </w:tc>
        <w:tc>
          <w:tcPr>
            <w:tcW w:w="316" w:type="pct"/>
            <w:vAlign w:val="center"/>
          </w:tcPr>
          <w:p w:rsidR="007A3677" w:rsidRPr="00F839FC" w:rsidRDefault="007A3677" w:rsidP="00EE24F8"/>
        </w:tc>
        <w:tc>
          <w:tcPr>
            <w:tcW w:w="412" w:type="pct"/>
            <w:vAlign w:val="center"/>
          </w:tcPr>
          <w:p w:rsidR="007A3677" w:rsidRPr="00F839FC" w:rsidRDefault="007A3677" w:rsidP="00EE24F8"/>
        </w:tc>
        <w:tc>
          <w:tcPr>
            <w:tcW w:w="1550" w:type="pct"/>
            <w:vAlign w:val="center"/>
          </w:tcPr>
          <w:p w:rsidR="007A3677" w:rsidRPr="00F839FC" w:rsidRDefault="007A3677" w:rsidP="00EE24F8"/>
        </w:tc>
        <w:tc>
          <w:tcPr>
            <w:tcW w:w="254" w:type="pct"/>
            <w:vAlign w:val="center"/>
          </w:tcPr>
          <w:p w:rsidR="007A3677" w:rsidRPr="00F839FC" w:rsidRDefault="007A3677" w:rsidP="00EE24F8"/>
        </w:tc>
        <w:tc>
          <w:tcPr>
            <w:tcW w:w="442" w:type="pct"/>
            <w:vAlign w:val="center"/>
          </w:tcPr>
          <w:p w:rsidR="007A3677" w:rsidRPr="00F839FC" w:rsidRDefault="007A3677" w:rsidP="00EE24F8"/>
        </w:tc>
        <w:tc>
          <w:tcPr>
            <w:tcW w:w="1488" w:type="pct"/>
            <w:vAlign w:val="center"/>
          </w:tcPr>
          <w:p w:rsidR="007A3677" w:rsidRPr="00F839FC" w:rsidRDefault="007A3677" w:rsidP="00EE24F8"/>
        </w:tc>
      </w:tr>
      <w:tr w:rsidR="00431835" w:rsidRPr="00476A53" w:rsidTr="00F64CFE">
        <w:trPr>
          <w:trHeight w:val="720"/>
        </w:trPr>
        <w:tc>
          <w:tcPr>
            <w:tcW w:w="189" w:type="pct"/>
            <w:vAlign w:val="center"/>
          </w:tcPr>
          <w:p w:rsidR="00431835" w:rsidRDefault="00431835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lastRenderedPageBreak/>
              <w:t>21</w:t>
            </w:r>
          </w:p>
        </w:tc>
        <w:tc>
          <w:tcPr>
            <w:tcW w:w="348" w:type="pct"/>
            <w:vAlign w:val="center"/>
          </w:tcPr>
          <w:p w:rsidR="00431835" w:rsidRPr="00F839FC" w:rsidRDefault="00431835" w:rsidP="00EE24F8"/>
        </w:tc>
        <w:tc>
          <w:tcPr>
            <w:tcW w:w="316" w:type="pct"/>
            <w:vAlign w:val="center"/>
          </w:tcPr>
          <w:p w:rsidR="00431835" w:rsidRPr="00F839FC" w:rsidRDefault="00431835" w:rsidP="00EE24F8"/>
        </w:tc>
        <w:tc>
          <w:tcPr>
            <w:tcW w:w="412" w:type="pct"/>
            <w:vAlign w:val="center"/>
          </w:tcPr>
          <w:p w:rsidR="00431835" w:rsidRPr="00F839FC" w:rsidRDefault="00431835" w:rsidP="00EE24F8"/>
        </w:tc>
        <w:tc>
          <w:tcPr>
            <w:tcW w:w="1550" w:type="pct"/>
            <w:vAlign w:val="center"/>
          </w:tcPr>
          <w:p w:rsidR="00431835" w:rsidRPr="00F839FC" w:rsidRDefault="00431835" w:rsidP="00EE24F8"/>
        </w:tc>
        <w:tc>
          <w:tcPr>
            <w:tcW w:w="254" w:type="pct"/>
            <w:vAlign w:val="center"/>
          </w:tcPr>
          <w:p w:rsidR="00431835" w:rsidRPr="00F839FC" w:rsidRDefault="00431835" w:rsidP="00EE24F8"/>
        </w:tc>
        <w:tc>
          <w:tcPr>
            <w:tcW w:w="442" w:type="pct"/>
            <w:vAlign w:val="center"/>
          </w:tcPr>
          <w:p w:rsidR="00431835" w:rsidRPr="00F839FC" w:rsidRDefault="00431835" w:rsidP="00EE24F8"/>
        </w:tc>
        <w:tc>
          <w:tcPr>
            <w:tcW w:w="1488" w:type="pct"/>
            <w:vAlign w:val="center"/>
          </w:tcPr>
          <w:p w:rsidR="00431835" w:rsidRPr="00F839FC" w:rsidRDefault="00431835" w:rsidP="00EE24F8"/>
        </w:tc>
      </w:tr>
      <w:tr w:rsidR="00431835" w:rsidRPr="00476A53" w:rsidTr="00F64CFE">
        <w:trPr>
          <w:trHeight w:val="720"/>
        </w:trPr>
        <w:tc>
          <w:tcPr>
            <w:tcW w:w="189" w:type="pct"/>
            <w:vAlign w:val="center"/>
          </w:tcPr>
          <w:p w:rsidR="00431835" w:rsidRDefault="00431835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22</w:t>
            </w:r>
          </w:p>
        </w:tc>
        <w:tc>
          <w:tcPr>
            <w:tcW w:w="348" w:type="pct"/>
            <w:vAlign w:val="center"/>
          </w:tcPr>
          <w:p w:rsidR="00431835" w:rsidRPr="00F839FC" w:rsidRDefault="00431835" w:rsidP="00EE24F8"/>
        </w:tc>
        <w:tc>
          <w:tcPr>
            <w:tcW w:w="316" w:type="pct"/>
            <w:vAlign w:val="center"/>
          </w:tcPr>
          <w:p w:rsidR="00431835" w:rsidRPr="00F839FC" w:rsidRDefault="00431835" w:rsidP="00EE24F8"/>
        </w:tc>
        <w:tc>
          <w:tcPr>
            <w:tcW w:w="412" w:type="pct"/>
            <w:vAlign w:val="center"/>
          </w:tcPr>
          <w:p w:rsidR="00431835" w:rsidRPr="00F839FC" w:rsidRDefault="00431835" w:rsidP="00EE24F8"/>
        </w:tc>
        <w:tc>
          <w:tcPr>
            <w:tcW w:w="1550" w:type="pct"/>
            <w:vAlign w:val="center"/>
          </w:tcPr>
          <w:p w:rsidR="00431835" w:rsidRPr="00F839FC" w:rsidRDefault="00431835" w:rsidP="00EE24F8"/>
        </w:tc>
        <w:tc>
          <w:tcPr>
            <w:tcW w:w="254" w:type="pct"/>
            <w:vAlign w:val="center"/>
          </w:tcPr>
          <w:p w:rsidR="00431835" w:rsidRPr="00F839FC" w:rsidRDefault="00431835" w:rsidP="00EE24F8"/>
        </w:tc>
        <w:tc>
          <w:tcPr>
            <w:tcW w:w="442" w:type="pct"/>
            <w:vAlign w:val="center"/>
          </w:tcPr>
          <w:p w:rsidR="00431835" w:rsidRPr="00F839FC" w:rsidRDefault="00431835" w:rsidP="00EE24F8"/>
        </w:tc>
        <w:tc>
          <w:tcPr>
            <w:tcW w:w="1488" w:type="pct"/>
            <w:vAlign w:val="center"/>
          </w:tcPr>
          <w:p w:rsidR="00431835" w:rsidRPr="00F839FC" w:rsidRDefault="00431835" w:rsidP="00EE24F8"/>
        </w:tc>
      </w:tr>
      <w:tr w:rsidR="00431835" w:rsidRPr="00476A53" w:rsidTr="00F64CFE">
        <w:trPr>
          <w:trHeight w:val="720"/>
        </w:trPr>
        <w:tc>
          <w:tcPr>
            <w:tcW w:w="189" w:type="pct"/>
            <w:vAlign w:val="center"/>
          </w:tcPr>
          <w:p w:rsidR="00431835" w:rsidRDefault="00431835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23</w:t>
            </w:r>
          </w:p>
        </w:tc>
        <w:tc>
          <w:tcPr>
            <w:tcW w:w="348" w:type="pct"/>
            <w:vAlign w:val="center"/>
          </w:tcPr>
          <w:p w:rsidR="00431835" w:rsidRPr="00F839FC" w:rsidRDefault="00431835" w:rsidP="00EE24F8"/>
        </w:tc>
        <w:tc>
          <w:tcPr>
            <w:tcW w:w="316" w:type="pct"/>
            <w:vAlign w:val="center"/>
          </w:tcPr>
          <w:p w:rsidR="00431835" w:rsidRPr="00F839FC" w:rsidRDefault="00431835" w:rsidP="00EE24F8"/>
        </w:tc>
        <w:tc>
          <w:tcPr>
            <w:tcW w:w="412" w:type="pct"/>
            <w:vAlign w:val="center"/>
          </w:tcPr>
          <w:p w:rsidR="00431835" w:rsidRPr="00F839FC" w:rsidRDefault="00431835" w:rsidP="00EE24F8"/>
        </w:tc>
        <w:tc>
          <w:tcPr>
            <w:tcW w:w="1550" w:type="pct"/>
            <w:vAlign w:val="center"/>
          </w:tcPr>
          <w:p w:rsidR="00431835" w:rsidRPr="00F839FC" w:rsidRDefault="00431835" w:rsidP="00EE24F8"/>
        </w:tc>
        <w:tc>
          <w:tcPr>
            <w:tcW w:w="254" w:type="pct"/>
            <w:vAlign w:val="center"/>
          </w:tcPr>
          <w:p w:rsidR="00431835" w:rsidRPr="00F839FC" w:rsidRDefault="00431835" w:rsidP="00EE24F8"/>
        </w:tc>
        <w:tc>
          <w:tcPr>
            <w:tcW w:w="442" w:type="pct"/>
            <w:vAlign w:val="center"/>
          </w:tcPr>
          <w:p w:rsidR="00431835" w:rsidRPr="00F839FC" w:rsidRDefault="00431835" w:rsidP="00EE24F8"/>
        </w:tc>
        <w:tc>
          <w:tcPr>
            <w:tcW w:w="1488" w:type="pct"/>
            <w:vAlign w:val="center"/>
          </w:tcPr>
          <w:p w:rsidR="00431835" w:rsidRPr="00F839FC" w:rsidRDefault="00431835" w:rsidP="00EE24F8"/>
        </w:tc>
      </w:tr>
      <w:tr w:rsidR="00431835" w:rsidRPr="00476A53" w:rsidTr="00F64CFE">
        <w:trPr>
          <w:trHeight w:val="720"/>
        </w:trPr>
        <w:tc>
          <w:tcPr>
            <w:tcW w:w="189" w:type="pct"/>
            <w:vAlign w:val="center"/>
          </w:tcPr>
          <w:p w:rsidR="00431835" w:rsidRDefault="00431835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24</w:t>
            </w:r>
          </w:p>
        </w:tc>
        <w:tc>
          <w:tcPr>
            <w:tcW w:w="348" w:type="pct"/>
            <w:vAlign w:val="center"/>
          </w:tcPr>
          <w:p w:rsidR="00431835" w:rsidRPr="00F839FC" w:rsidRDefault="00431835" w:rsidP="00EE24F8"/>
        </w:tc>
        <w:tc>
          <w:tcPr>
            <w:tcW w:w="316" w:type="pct"/>
            <w:vAlign w:val="center"/>
          </w:tcPr>
          <w:p w:rsidR="00431835" w:rsidRPr="00F839FC" w:rsidRDefault="00431835" w:rsidP="00EE24F8"/>
        </w:tc>
        <w:tc>
          <w:tcPr>
            <w:tcW w:w="412" w:type="pct"/>
            <w:vAlign w:val="center"/>
          </w:tcPr>
          <w:p w:rsidR="00431835" w:rsidRPr="00F839FC" w:rsidRDefault="00431835" w:rsidP="00EE24F8"/>
        </w:tc>
        <w:tc>
          <w:tcPr>
            <w:tcW w:w="1550" w:type="pct"/>
            <w:vAlign w:val="center"/>
          </w:tcPr>
          <w:p w:rsidR="00431835" w:rsidRPr="00F839FC" w:rsidRDefault="00431835" w:rsidP="00EE24F8"/>
        </w:tc>
        <w:tc>
          <w:tcPr>
            <w:tcW w:w="254" w:type="pct"/>
            <w:vAlign w:val="center"/>
          </w:tcPr>
          <w:p w:rsidR="00431835" w:rsidRPr="00F839FC" w:rsidRDefault="00431835" w:rsidP="00EE24F8"/>
        </w:tc>
        <w:tc>
          <w:tcPr>
            <w:tcW w:w="442" w:type="pct"/>
            <w:vAlign w:val="center"/>
          </w:tcPr>
          <w:p w:rsidR="00431835" w:rsidRPr="00F839FC" w:rsidRDefault="00431835" w:rsidP="00EE24F8"/>
        </w:tc>
        <w:tc>
          <w:tcPr>
            <w:tcW w:w="1488" w:type="pct"/>
            <w:vAlign w:val="center"/>
          </w:tcPr>
          <w:p w:rsidR="00431835" w:rsidRPr="00F839FC" w:rsidRDefault="00431835" w:rsidP="00EE24F8"/>
        </w:tc>
      </w:tr>
      <w:tr w:rsidR="00431835" w:rsidRPr="00476A53" w:rsidTr="00F64CFE">
        <w:trPr>
          <w:trHeight w:val="720"/>
        </w:trPr>
        <w:tc>
          <w:tcPr>
            <w:tcW w:w="189" w:type="pct"/>
            <w:vAlign w:val="center"/>
          </w:tcPr>
          <w:p w:rsidR="00431835" w:rsidRDefault="00431835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25</w:t>
            </w:r>
          </w:p>
        </w:tc>
        <w:tc>
          <w:tcPr>
            <w:tcW w:w="348" w:type="pct"/>
            <w:vAlign w:val="center"/>
          </w:tcPr>
          <w:p w:rsidR="00431835" w:rsidRPr="00F839FC" w:rsidRDefault="00431835" w:rsidP="00EE24F8"/>
        </w:tc>
        <w:tc>
          <w:tcPr>
            <w:tcW w:w="316" w:type="pct"/>
            <w:vAlign w:val="center"/>
          </w:tcPr>
          <w:p w:rsidR="00431835" w:rsidRPr="00F839FC" w:rsidRDefault="00431835" w:rsidP="00EE24F8"/>
        </w:tc>
        <w:tc>
          <w:tcPr>
            <w:tcW w:w="412" w:type="pct"/>
            <w:vAlign w:val="center"/>
          </w:tcPr>
          <w:p w:rsidR="00431835" w:rsidRPr="00F839FC" w:rsidRDefault="00431835" w:rsidP="00EE24F8"/>
        </w:tc>
        <w:tc>
          <w:tcPr>
            <w:tcW w:w="1550" w:type="pct"/>
            <w:vAlign w:val="center"/>
          </w:tcPr>
          <w:p w:rsidR="00431835" w:rsidRPr="00F839FC" w:rsidRDefault="00431835" w:rsidP="00EE24F8"/>
        </w:tc>
        <w:tc>
          <w:tcPr>
            <w:tcW w:w="254" w:type="pct"/>
            <w:vAlign w:val="center"/>
          </w:tcPr>
          <w:p w:rsidR="00431835" w:rsidRPr="00F839FC" w:rsidRDefault="00431835" w:rsidP="00EE24F8"/>
        </w:tc>
        <w:tc>
          <w:tcPr>
            <w:tcW w:w="442" w:type="pct"/>
            <w:vAlign w:val="center"/>
          </w:tcPr>
          <w:p w:rsidR="00431835" w:rsidRPr="00F839FC" w:rsidRDefault="00431835" w:rsidP="00EE24F8"/>
        </w:tc>
        <w:tc>
          <w:tcPr>
            <w:tcW w:w="1488" w:type="pct"/>
            <w:vAlign w:val="center"/>
          </w:tcPr>
          <w:p w:rsidR="00431835" w:rsidRPr="00F839FC" w:rsidRDefault="00431835" w:rsidP="00EE24F8"/>
        </w:tc>
      </w:tr>
      <w:tr w:rsidR="00431835" w:rsidRPr="00476A53" w:rsidTr="00F64CFE">
        <w:trPr>
          <w:trHeight w:val="720"/>
        </w:trPr>
        <w:tc>
          <w:tcPr>
            <w:tcW w:w="189" w:type="pct"/>
            <w:vAlign w:val="center"/>
          </w:tcPr>
          <w:p w:rsidR="00431835" w:rsidRDefault="00431835" w:rsidP="00EE24F8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26</w:t>
            </w:r>
          </w:p>
        </w:tc>
        <w:tc>
          <w:tcPr>
            <w:tcW w:w="348" w:type="pct"/>
            <w:vAlign w:val="center"/>
          </w:tcPr>
          <w:p w:rsidR="00431835" w:rsidRPr="00F839FC" w:rsidRDefault="00431835" w:rsidP="00EE24F8"/>
        </w:tc>
        <w:tc>
          <w:tcPr>
            <w:tcW w:w="316" w:type="pct"/>
            <w:vAlign w:val="center"/>
          </w:tcPr>
          <w:p w:rsidR="00431835" w:rsidRPr="00F839FC" w:rsidRDefault="00431835" w:rsidP="00EE24F8"/>
        </w:tc>
        <w:tc>
          <w:tcPr>
            <w:tcW w:w="412" w:type="pct"/>
            <w:vAlign w:val="center"/>
          </w:tcPr>
          <w:p w:rsidR="00431835" w:rsidRPr="00F839FC" w:rsidRDefault="00431835" w:rsidP="00EE24F8"/>
        </w:tc>
        <w:tc>
          <w:tcPr>
            <w:tcW w:w="1550" w:type="pct"/>
            <w:vAlign w:val="center"/>
          </w:tcPr>
          <w:p w:rsidR="00431835" w:rsidRPr="00F839FC" w:rsidRDefault="00431835" w:rsidP="00EE24F8"/>
        </w:tc>
        <w:tc>
          <w:tcPr>
            <w:tcW w:w="254" w:type="pct"/>
            <w:vAlign w:val="center"/>
          </w:tcPr>
          <w:p w:rsidR="00431835" w:rsidRPr="00F839FC" w:rsidRDefault="00431835" w:rsidP="00EE24F8"/>
        </w:tc>
        <w:tc>
          <w:tcPr>
            <w:tcW w:w="442" w:type="pct"/>
            <w:vAlign w:val="center"/>
          </w:tcPr>
          <w:p w:rsidR="00431835" w:rsidRPr="00F839FC" w:rsidRDefault="00431835" w:rsidP="00EE24F8"/>
        </w:tc>
        <w:tc>
          <w:tcPr>
            <w:tcW w:w="1488" w:type="pct"/>
            <w:vAlign w:val="center"/>
          </w:tcPr>
          <w:p w:rsidR="00431835" w:rsidRPr="00F839FC" w:rsidRDefault="00431835" w:rsidP="00EE24F8"/>
        </w:tc>
      </w:tr>
    </w:tbl>
    <w:p w:rsidR="006D5FFF" w:rsidRDefault="006D5FFF" w:rsidP="00F455BC">
      <w:pPr>
        <w:pStyle w:val="Heading2"/>
      </w:pPr>
    </w:p>
    <w:p w:rsidR="00F455BC" w:rsidRDefault="00F455BC" w:rsidP="00B3161B">
      <w:pPr>
        <w:spacing w:line="240" w:lineRule="auto"/>
      </w:pPr>
    </w:p>
    <w:sectPr w:rsidR="00F455BC" w:rsidSect="00142D4F">
      <w:headerReference w:type="default" r:id="rId10"/>
      <w:footerReference w:type="default" r:id="rId11"/>
      <w:headerReference w:type="first" r:id="rId12"/>
      <w:pgSz w:w="15840" w:h="12240" w:orient="landscape" w:code="1"/>
      <w:pgMar w:top="1152" w:right="1440" w:bottom="1152" w:left="1440" w:header="288" w:footer="720" w:gutter="0"/>
      <w:cols w:sep="1"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4D" w:rsidRDefault="00674B4D">
      <w:pPr>
        <w:spacing w:line="240" w:lineRule="auto"/>
      </w:pPr>
      <w:r>
        <w:separator/>
      </w:r>
    </w:p>
  </w:endnote>
  <w:endnote w:type="continuationSeparator" w:id="0">
    <w:p w:rsidR="00674B4D" w:rsidRDefault="00674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BC" w:rsidRPr="00E76CE3" w:rsidRDefault="00F455BC" w:rsidP="00F455BC">
    <w:pPr>
      <w:pStyle w:val="Footer"/>
    </w:pPr>
    <w:r w:rsidRPr="00B11CF4">
      <w:t>Protocol Deviation Tracking Log</w:t>
    </w:r>
    <w:r>
      <w:t xml:space="preserve"> Version 2.0</w:t>
    </w: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F764C8">
      <w:rPr>
        <w:noProof/>
      </w:rPr>
      <w:t>4</w:t>
    </w:r>
    <w:r w:rsidRPr="00E76CE3">
      <w:fldChar w:fldCharType="end"/>
    </w:r>
    <w:r w:rsidRPr="00E76CE3">
      <w:t xml:space="preserve"> of </w:t>
    </w:r>
    <w:r w:rsidR="00674B4D">
      <w:fldChar w:fldCharType="begin"/>
    </w:r>
    <w:r w:rsidR="00674B4D">
      <w:instrText xml:space="preserve"> NUMPAGES  </w:instrText>
    </w:r>
    <w:r w:rsidR="00674B4D">
      <w:fldChar w:fldCharType="separate"/>
    </w:r>
    <w:r w:rsidR="00F764C8">
      <w:rPr>
        <w:noProof/>
      </w:rPr>
      <w:t>4</w:t>
    </w:r>
    <w:r w:rsidR="00674B4D">
      <w:rPr>
        <w:noProof/>
      </w:rPr>
      <w:fldChar w:fldCharType="end"/>
    </w:r>
    <w:r w:rsidRPr="00E76CE3">
      <w:tab/>
    </w:r>
    <w:r>
      <w:t>24Apr2013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4D" w:rsidRDefault="00674B4D">
      <w:pPr>
        <w:spacing w:line="240" w:lineRule="auto"/>
      </w:pPr>
      <w:r>
        <w:separator/>
      </w:r>
    </w:p>
  </w:footnote>
  <w:footnote w:type="continuationSeparator" w:id="0">
    <w:p w:rsidR="00674B4D" w:rsidRDefault="00674B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BC" w:rsidRDefault="00A22048" w:rsidP="00A22048">
    <w:pPr>
      <w:pStyle w:val="Header"/>
      <w:spacing w:after="120"/>
      <w:jc w:val="center"/>
      <w:rPr>
        <w:sz w:val="36"/>
        <w:szCs w:val="36"/>
      </w:rPr>
    </w:pPr>
    <w:r w:rsidRPr="00A22048">
      <w:rPr>
        <w:sz w:val="36"/>
        <w:szCs w:val="36"/>
      </w:rPr>
      <w:t>Event Tracking Log</w:t>
    </w:r>
  </w:p>
  <w:tbl>
    <w:tblPr>
      <w:tblW w:w="5486" w:type="pct"/>
      <w:tblInd w:w="-6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"/>
      <w:gridCol w:w="990"/>
      <w:gridCol w:w="899"/>
      <w:gridCol w:w="1172"/>
      <w:gridCol w:w="4408"/>
      <w:gridCol w:w="722"/>
      <w:gridCol w:w="1257"/>
      <w:gridCol w:w="4232"/>
    </w:tblGrid>
    <w:tr w:rsidR="00A22048" w:rsidTr="00F64CFE">
      <w:trPr>
        <w:trHeight w:val="288"/>
      </w:trPr>
      <w:tc>
        <w:tcPr>
          <w:tcW w:w="5000" w:type="pct"/>
          <w:gridSpan w:val="8"/>
          <w:tcBorders>
            <w:top w:val="nil"/>
            <w:left w:val="nil"/>
            <w:bottom w:val="nil"/>
            <w:right w:val="nil"/>
          </w:tcBorders>
          <w:vAlign w:val="bottom"/>
        </w:tcPr>
        <w:p w:rsidR="00A22048" w:rsidRDefault="00A22048" w:rsidP="00A22048">
          <w:pPr>
            <w:pStyle w:val="TX-TableText"/>
            <w:ind w:left="0"/>
            <w:rPr>
              <w:rStyle w:val="Strong"/>
            </w:rPr>
          </w:pPr>
          <w:r>
            <w:rPr>
              <w:rStyle w:val="Strong"/>
            </w:rPr>
            <w:t xml:space="preserve">IRB Study Number: </w:t>
          </w:r>
        </w:p>
      </w:tc>
    </w:tr>
    <w:tr w:rsidR="00A22048" w:rsidTr="00F64CFE">
      <w:trPr>
        <w:trHeight w:val="288"/>
      </w:trPr>
      <w:tc>
        <w:tcPr>
          <w:tcW w:w="5000" w:type="pct"/>
          <w:gridSpan w:val="8"/>
          <w:tcBorders>
            <w:top w:val="nil"/>
            <w:left w:val="nil"/>
            <w:bottom w:val="nil"/>
            <w:right w:val="nil"/>
          </w:tcBorders>
          <w:vAlign w:val="bottom"/>
        </w:tcPr>
        <w:p w:rsidR="00A22048" w:rsidRDefault="00A22048" w:rsidP="00A22048">
          <w:pPr>
            <w:pStyle w:val="TX-TableText"/>
            <w:ind w:left="0"/>
            <w:rPr>
              <w:rStyle w:val="Strong"/>
            </w:rPr>
          </w:pPr>
          <w:r>
            <w:rPr>
              <w:rStyle w:val="Strong"/>
            </w:rPr>
            <w:t>Study Title:</w:t>
          </w:r>
        </w:p>
      </w:tc>
    </w:tr>
    <w:tr w:rsidR="00A22048" w:rsidTr="00F64CFE">
      <w:trPr>
        <w:trHeight w:val="288"/>
      </w:trPr>
      <w:tc>
        <w:tcPr>
          <w:tcW w:w="5000" w:type="pct"/>
          <w:gridSpan w:val="8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22048" w:rsidRDefault="00A22048" w:rsidP="00A22048">
          <w:pPr>
            <w:pStyle w:val="TX-TableText"/>
            <w:ind w:left="0"/>
            <w:rPr>
              <w:rStyle w:val="Strong"/>
            </w:rPr>
          </w:pPr>
          <w:r>
            <w:rPr>
              <w:rStyle w:val="Strong"/>
            </w:rPr>
            <w:t>Principal Investigator:</w:t>
          </w:r>
        </w:p>
      </w:tc>
    </w:tr>
    <w:tr w:rsidR="005D486E" w:rsidRPr="00476A53" w:rsidTr="00F64CFE">
      <w:trPr>
        <w:trHeight w:val="940"/>
      </w:trPr>
      <w:tc>
        <w:tcPr>
          <w:tcW w:w="19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:rsidR="005D486E" w:rsidRPr="00476A53" w:rsidRDefault="005D486E" w:rsidP="00A22048">
          <w:pPr>
            <w:pStyle w:val="TX-TableText"/>
            <w:ind w:left="0"/>
            <w:jc w:val="center"/>
            <w:rPr>
              <w:rStyle w:val="Strong"/>
            </w:rPr>
          </w:pPr>
          <w:r w:rsidRPr="00476A53">
            <w:rPr>
              <w:rStyle w:val="Strong"/>
            </w:rPr>
            <w:t>Ref</w:t>
          </w:r>
          <w:r w:rsidRPr="00476A53">
            <w:rPr>
              <w:rStyle w:val="Strong"/>
            </w:rPr>
            <w:br/>
          </w:r>
          <w:r>
            <w:rPr>
              <w:rStyle w:val="Strong"/>
            </w:rPr>
            <w:t>#</w:t>
          </w:r>
        </w:p>
      </w:tc>
      <w:tc>
        <w:tcPr>
          <w:tcW w:w="34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:rsidR="005D486E" w:rsidRPr="00476A53" w:rsidRDefault="005D486E" w:rsidP="00A22048">
          <w:pPr>
            <w:pStyle w:val="TX-TableText"/>
            <w:ind w:left="0"/>
            <w:jc w:val="center"/>
            <w:rPr>
              <w:rStyle w:val="Strong"/>
            </w:rPr>
          </w:pPr>
          <w:r w:rsidRPr="00476A53">
            <w:rPr>
              <w:rStyle w:val="Strong"/>
            </w:rPr>
            <w:t>Subject</w:t>
          </w:r>
          <w:r w:rsidRPr="00476A53">
            <w:rPr>
              <w:rStyle w:val="Strong"/>
            </w:rPr>
            <w:br/>
            <w:t>ID</w:t>
          </w:r>
        </w:p>
      </w:tc>
      <w:tc>
        <w:tcPr>
          <w:tcW w:w="31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:rsidR="005D486E" w:rsidRPr="00476A53" w:rsidRDefault="005D486E" w:rsidP="00A22048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 xml:space="preserve">Event </w:t>
          </w:r>
          <w:r w:rsidRPr="00476A53">
            <w:rPr>
              <w:rStyle w:val="Strong"/>
            </w:rPr>
            <w:t>Date</w:t>
          </w:r>
        </w:p>
      </w:tc>
      <w:tc>
        <w:tcPr>
          <w:tcW w:w="41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:rsidR="005D486E" w:rsidRPr="00476A53" w:rsidRDefault="005D486E" w:rsidP="00A22048">
          <w:pPr>
            <w:pStyle w:val="TX-TableText"/>
            <w:ind w:left="0"/>
            <w:jc w:val="center"/>
            <w:rPr>
              <w:rStyle w:val="Strong"/>
            </w:rPr>
          </w:pPr>
          <w:r w:rsidRPr="00476A53">
            <w:rPr>
              <w:rStyle w:val="Strong"/>
            </w:rPr>
            <w:t>Date Identified</w:t>
          </w:r>
        </w:p>
      </w:tc>
      <w:tc>
        <w:tcPr>
          <w:tcW w:w="155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:rsidR="005D486E" w:rsidRPr="00476A53" w:rsidRDefault="005D486E" w:rsidP="00143E85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>Brief Description of Event, Incident or Problem (including assessment of the net effect on Risk/Benefit)</w:t>
          </w:r>
        </w:p>
      </w:tc>
      <w:tc>
        <w:tcPr>
          <w:tcW w:w="25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:rsidR="005D486E" w:rsidRPr="00476A53" w:rsidRDefault="005D486E" w:rsidP="00A22048">
          <w:pPr>
            <w:pStyle w:val="TX-TableText"/>
            <w:ind w:left="-43" w:right="-43"/>
            <w:jc w:val="center"/>
            <w:rPr>
              <w:rStyle w:val="Strong"/>
            </w:rPr>
          </w:pPr>
          <w:r>
            <w:rPr>
              <w:rStyle w:val="Strong"/>
            </w:rPr>
            <w:t>Event Type</w:t>
          </w:r>
        </w:p>
      </w:tc>
      <w:tc>
        <w:tcPr>
          <w:tcW w:w="4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:rsidR="005D486E" w:rsidRPr="00476A53" w:rsidRDefault="005D486E" w:rsidP="00A22048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>Method &amp; Date of IRB Reporting</w:t>
          </w:r>
        </w:p>
      </w:tc>
      <w:tc>
        <w:tcPr>
          <w:tcW w:w="148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:rsidR="005D486E" w:rsidRPr="00476A53" w:rsidRDefault="005D486E" w:rsidP="00A22048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>Corrective Action Taken to Avoid Recurrence</w:t>
          </w:r>
        </w:p>
      </w:tc>
    </w:tr>
  </w:tbl>
  <w:p w:rsidR="00A22048" w:rsidRPr="00A22048" w:rsidRDefault="00A22048">
    <w:pPr>
      <w:pStyle w:val="Header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4F" w:rsidRPr="00142D4F" w:rsidRDefault="00142D4F" w:rsidP="00142D4F">
    <w:pPr>
      <w:pStyle w:val="Header"/>
      <w:jc w:val="right"/>
      <w:rPr>
        <w:sz w:val="20"/>
      </w:rPr>
    </w:pPr>
    <w:r w:rsidRPr="00142D4F">
      <w:rPr>
        <w:sz w:val="20"/>
      </w:rPr>
      <w:t>LSUHSC-NO HRPP</w:t>
    </w:r>
  </w:p>
  <w:p w:rsidR="00142D4F" w:rsidRPr="00142D4F" w:rsidRDefault="00142D4F" w:rsidP="00142D4F">
    <w:pPr>
      <w:pStyle w:val="Header"/>
      <w:jc w:val="right"/>
      <w:rPr>
        <w:sz w:val="20"/>
      </w:rPr>
    </w:pPr>
    <w:r w:rsidRPr="00142D4F">
      <w:rPr>
        <w:sz w:val="20"/>
      </w:rPr>
      <w:t>DOC ID: HRP-2</w:t>
    </w:r>
    <w:r w:rsidR="00F764C8">
      <w:rPr>
        <w:sz w:val="20"/>
      </w:rPr>
      <w:t>22</w:t>
    </w:r>
    <w:r w:rsidRPr="00142D4F">
      <w:rPr>
        <w:sz w:val="20"/>
      </w:rPr>
      <w:t>0</w:t>
    </w:r>
  </w:p>
  <w:p w:rsidR="00142D4F" w:rsidRPr="00142D4F" w:rsidRDefault="00142D4F" w:rsidP="00142D4F">
    <w:pPr>
      <w:pStyle w:val="Header"/>
      <w:jc w:val="right"/>
      <w:rPr>
        <w:sz w:val="20"/>
      </w:rPr>
    </w:pPr>
    <w:r w:rsidRPr="00142D4F">
      <w:rPr>
        <w:sz w:val="20"/>
      </w:rPr>
      <w:t>VER: 1.</w:t>
    </w:r>
    <w:r w:rsidR="00F764C8">
      <w:rPr>
        <w:sz w:val="20"/>
      </w:rPr>
      <w:t>0</w:t>
    </w:r>
    <w:r w:rsidRPr="00142D4F">
      <w:rPr>
        <w:sz w:val="20"/>
      </w:rPr>
      <w:t>_5.30.20</w:t>
    </w:r>
  </w:p>
  <w:p w:rsidR="00142D4F" w:rsidRDefault="00142D4F" w:rsidP="00142D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9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A17CD5"/>
    <w:multiLevelType w:val="hybridMultilevel"/>
    <w:tmpl w:val="BA30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5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CB"/>
    <w:rsid w:val="00012D51"/>
    <w:rsid w:val="00013338"/>
    <w:rsid w:val="000207AD"/>
    <w:rsid w:val="000416EB"/>
    <w:rsid w:val="00043F57"/>
    <w:rsid w:val="00047CA7"/>
    <w:rsid w:val="0008448B"/>
    <w:rsid w:val="00085248"/>
    <w:rsid w:val="00093F81"/>
    <w:rsid w:val="0009736A"/>
    <w:rsid w:val="000F0CEF"/>
    <w:rsid w:val="000F72BF"/>
    <w:rsid w:val="001018BF"/>
    <w:rsid w:val="00104474"/>
    <w:rsid w:val="00106D6A"/>
    <w:rsid w:val="001101E2"/>
    <w:rsid w:val="00117751"/>
    <w:rsid w:val="00131D04"/>
    <w:rsid w:val="001358D3"/>
    <w:rsid w:val="00142D4F"/>
    <w:rsid w:val="00143891"/>
    <w:rsid w:val="00143E85"/>
    <w:rsid w:val="001A58A5"/>
    <w:rsid w:val="001B75C8"/>
    <w:rsid w:val="001C004D"/>
    <w:rsid w:val="001C5419"/>
    <w:rsid w:val="001F0EB6"/>
    <w:rsid w:val="001F790B"/>
    <w:rsid w:val="00200D14"/>
    <w:rsid w:val="0021021C"/>
    <w:rsid w:val="00211ECB"/>
    <w:rsid w:val="002149EA"/>
    <w:rsid w:val="00236BCE"/>
    <w:rsid w:val="00251128"/>
    <w:rsid w:val="00257F28"/>
    <w:rsid w:val="00261E9D"/>
    <w:rsid w:val="00277B3E"/>
    <w:rsid w:val="00282383"/>
    <w:rsid w:val="00282BDA"/>
    <w:rsid w:val="002879A7"/>
    <w:rsid w:val="00291B07"/>
    <w:rsid w:val="002A794C"/>
    <w:rsid w:val="002C0714"/>
    <w:rsid w:val="002D1EA3"/>
    <w:rsid w:val="002D4CD5"/>
    <w:rsid w:val="002D7A6D"/>
    <w:rsid w:val="002F0B45"/>
    <w:rsid w:val="002F0F35"/>
    <w:rsid w:val="002F3522"/>
    <w:rsid w:val="003040C5"/>
    <w:rsid w:val="003063FB"/>
    <w:rsid w:val="003218E4"/>
    <w:rsid w:val="003227E1"/>
    <w:rsid w:val="0032563D"/>
    <w:rsid w:val="00327EDC"/>
    <w:rsid w:val="00332FD3"/>
    <w:rsid w:val="003738D1"/>
    <w:rsid w:val="00375AF7"/>
    <w:rsid w:val="00377D52"/>
    <w:rsid w:val="0039511E"/>
    <w:rsid w:val="003B5139"/>
    <w:rsid w:val="003B612D"/>
    <w:rsid w:val="00422860"/>
    <w:rsid w:val="0042437B"/>
    <w:rsid w:val="00431835"/>
    <w:rsid w:val="00433EE2"/>
    <w:rsid w:val="004551A6"/>
    <w:rsid w:val="00455A64"/>
    <w:rsid w:val="004622D0"/>
    <w:rsid w:val="0046580C"/>
    <w:rsid w:val="00470F12"/>
    <w:rsid w:val="00474A82"/>
    <w:rsid w:val="00475BBF"/>
    <w:rsid w:val="00496707"/>
    <w:rsid w:val="00496B5E"/>
    <w:rsid w:val="004A2E08"/>
    <w:rsid w:val="004A7316"/>
    <w:rsid w:val="004B4C3C"/>
    <w:rsid w:val="004D6B03"/>
    <w:rsid w:val="004E3FFC"/>
    <w:rsid w:val="00505720"/>
    <w:rsid w:val="00507BB1"/>
    <w:rsid w:val="00512272"/>
    <w:rsid w:val="0051437B"/>
    <w:rsid w:val="00517558"/>
    <w:rsid w:val="0054305E"/>
    <w:rsid w:val="005525FF"/>
    <w:rsid w:val="005578E1"/>
    <w:rsid w:val="00565660"/>
    <w:rsid w:val="00570EA5"/>
    <w:rsid w:val="005738B5"/>
    <w:rsid w:val="005A0E1D"/>
    <w:rsid w:val="005C1724"/>
    <w:rsid w:val="005C1DB2"/>
    <w:rsid w:val="005D1DF7"/>
    <w:rsid w:val="005D486E"/>
    <w:rsid w:val="005E0D27"/>
    <w:rsid w:val="005E2F17"/>
    <w:rsid w:val="005E7CBE"/>
    <w:rsid w:val="005F3A9F"/>
    <w:rsid w:val="005F62C9"/>
    <w:rsid w:val="00605354"/>
    <w:rsid w:val="00607A78"/>
    <w:rsid w:val="00610EC4"/>
    <w:rsid w:val="00627255"/>
    <w:rsid w:val="00633C91"/>
    <w:rsid w:val="00635953"/>
    <w:rsid w:val="006621E6"/>
    <w:rsid w:val="00662D57"/>
    <w:rsid w:val="006657F6"/>
    <w:rsid w:val="00674B4D"/>
    <w:rsid w:val="00674D39"/>
    <w:rsid w:val="00684690"/>
    <w:rsid w:val="00686554"/>
    <w:rsid w:val="00687026"/>
    <w:rsid w:val="00692635"/>
    <w:rsid w:val="006A0A2D"/>
    <w:rsid w:val="006B1905"/>
    <w:rsid w:val="006B412A"/>
    <w:rsid w:val="006C1FF3"/>
    <w:rsid w:val="006D5FFF"/>
    <w:rsid w:val="006E57EE"/>
    <w:rsid w:val="006E7A7A"/>
    <w:rsid w:val="0070437F"/>
    <w:rsid w:val="00717D15"/>
    <w:rsid w:val="0072483B"/>
    <w:rsid w:val="0074410B"/>
    <w:rsid w:val="00793181"/>
    <w:rsid w:val="007A3677"/>
    <w:rsid w:val="007B22D7"/>
    <w:rsid w:val="007D2BA3"/>
    <w:rsid w:val="007D2D3E"/>
    <w:rsid w:val="007D3889"/>
    <w:rsid w:val="007E3E88"/>
    <w:rsid w:val="007E700E"/>
    <w:rsid w:val="007F0908"/>
    <w:rsid w:val="007F0999"/>
    <w:rsid w:val="007F30A8"/>
    <w:rsid w:val="0080250B"/>
    <w:rsid w:val="008171B8"/>
    <w:rsid w:val="00820DAF"/>
    <w:rsid w:val="0082616A"/>
    <w:rsid w:val="00834E9F"/>
    <w:rsid w:val="00837970"/>
    <w:rsid w:val="00847015"/>
    <w:rsid w:val="00871492"/>
    <w:rsid w:val="008B343A"/>
    <w:rsid w:val="008E1E06"/>
    <w:rsid w:val="00902B93"/>
    <w:rsid w:val="00923C6F"/>
    <w:rsid w:val="00956534"/>
    <w:rsid w:val="00971A7C"/>
    <w:rsid w:val="00985685"/>
    <w:rsid w:val="00993C07"/>
    <w:rsid w:val="00997C52"/>
    <w:rsid w:val="009A00C3"/>
    <w:rsid w:val="009A6F87"/>
    <w:rsid w:val="009B441E"/>
    <w:rsid w:val="009B5007"/>
    <w:rsid w:val="009E74A1"/>
    <w:rsid w:val="009F2655"/>
    <w:rsid w:val="00A0217C"/>
    <w:rsid w:val="00A057EA"/>
    <w:rsid w:val="00A22048"/>
    <w:rsid w:val="00A24CA1"/>
    <w:rsid w:val="00A27E42"/>
    <w:rsid w:val="00A31795"/>
    <w:rsid w:val="00A550A1"/>
    <w:rsid w:val="00A61817"/>
    <w:rsid w:val="00A87EB7"/>
    <w:rsid w:val="00A9205D"/>
    <w:rsid w:val="00AA4DDE"/>
    <w:rsid w:val="00AB1662"/>
    <w:rsid w:val="00AB5283"/>
    <w:rsid w:val="00AC3E05"/>
    <w:rsid w:val="00AC768B"/>
    <w:rsid w:val="00AC7732"/>
    <w:rsid w:val="00AD36EE"/>
    <w:rsid w:val="00B01C3E"/>
    <w:rsid w:val="00B03370"/>
    <w:rsid w:val="00B10200"/>
    <w:rsid w:val="00B11CF4"/>
    <w:rsid w:val="00B3161B"/>
    <w:rsid w:val="00B362D2"/>
    <w:rsid w:val="00BB2E4E"/>
    <w:rsid w:val="00BB5A80"/>
    <w:rsid w:val="00BD594E"/>
    <w:rsid w:val="00C01069"/>
    <w:rsid w:val="00C052A6"/>
    <w:rsid w:val="00C170D9"/>
    <w:rsid w:val="00C17826"/>
    <w:rsid w:val="00C24F4D"/>
    <w:rsid w:val="00C40AA6"/>
    <w:rsid w:val="00C55605"/>
    <w:rsid w:val="00C87596"/>
    <w:rsid w:val="00CB167D"/>
    <w:rsid w:val="00CD07B3"/>
    <w:rsid w:val="00CF2161"/>
    <w:rsid w:val="00D21CA4"/>
    <w:rsid w:val="00D45C28"/>
    <w:rsid w:val="00D45C78"/>
    <w:rsid w:val="00D60365"/>
    <w:rsid w:val="00D63527"/>
    <w:rsid w:val="00D76DEE"/>
    <w:rsid w:val="00D77AB0"/>
    <w:rsid w:val="00D93100"/>
    <w:rsid w:val="00DA23D5"/>
    <w:rsid w:val="00DE429C"/>
    <w:rsid w:val="00DF0DBD"/>
    <w:rsid w:val="00DF4009"/>
    <w:rsid w:val="00E13E35"/>
    <w:rsid w:val="00E1682A"/>
    <w:rsid w:val="00E171BF"/>
    <w:rsid w:val="00E40B65"/>
    <w:rsid w:val="00E536D4"/>
    <w:rsid w:val="00E62F44"/>
    <w:rsid w:val="00E76CE3"/>
    <w:rsid w:val="00E90E03"/>
    <w:rsid w:val="00E9339E"/>
    <w:rsid w:val="00EB3AAA"/>
    <w:rsid w:val="00EB5F77"/>
    <w:rsid w:val="00EC3C8F"/>
    <w:rsid w:val="00EC3CE5"/>
    <w:rsid w:val="00EE24F8"/>
    <w:rsid w:val="00EE291E"/>
    <w:rsid w:val="00EE7364"/>
    <w:rsid w:val="00F15ADF"/>
    <w:rsid w:val="00F2218F"/>
    <w:rsid w:val="00F455BC"/>
    <w:rsid w:val="00F47901"/>
    <w:rsid w:val="00F53C88"/>
    <w:rsid w:val="00F64CFE"/>
    <w:rsid w:val="00F6577E"/>
    <w:rsid w:val="00F764C8"/>
    <w:rsid w:val="00F82549"/>
    <w:rsid w:val="00F839FC"/>
    <w:rsid w:val="00F91511"/>
    <w:rsid w:val="00FB49A8"/>
    <w:rsid w:val="00FC5639"/>
    <w:rsid w:val="00FC774A"/>
    <w:rsid w:val="00FD714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06E3B"/>
  <w15:docId w15:val="{2554CB38-AEF6-4257-96C6-824DAA82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D27"/>
    <w:pPr>
      <w:spacing w:line="240" w:lineRule="atLeast"/>
    </w:pPr>
    <w:rPr>
      <w:rFonts w:asciiTheme="minorHAnsi" w:hAnsiTheme="minorHAnsi"/>
      <w:sz w:val="22"/>
    </w:rPr>
  </w:style>
  <w:style w:type="paragraph" w:styleId="Heading1">
    <w:name w:val="heading 1"/>
    <w:aliases w:val="H1-Sec.Head"/>
    <w:basedOn w:val="Normal"/>
    <w:next w:val="L1-FlLSp12"/>
    <w:qFormat/>
    <w:rsid w:val="005E0D27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"/>
    <w:basedOn w:val="Heading1"/>
    <w:next w:val="L1-FlLSp12"/>
    <w:qFormat/>
    <w:rsid w:val="005E0D27"/>
    <w:pPr>
      <w:spacing w:before="240" w:after="1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qFormat/>
    <w:rsid w:val="005E0D27"/>
    <w:pPr>
      <w:outlineLvl w:val="2"/>
    </w:pPr>
    <w:rPr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5E0D27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5E0D27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5E0D27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5E0D2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5E0D27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5E0D27"/>
    <w:pPr>
      <w:keepLines/>
      <w:jc w:val="center"/>
    </w:pPr>
  </w:style>
  <w:style w:type="paragraph" w:customStyle="1" w:styleId="C3-CtrSp12">
    <w:name w:val="C3-Ctr Sp&amp;1/2"/>
    <w:basedOn w:val="Normal"/>
    <w:rsid w:val="005E0D27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5E0D27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5E0D27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5E0D27"/>
    <w:pPr>
      <w:tabs>
        <w:tab w:val="center" w:pos="5040"/>
        <w:tab w:val="right" w:pos="9936"/>
      </w:tabs>
    </w:pPr>
    <w:rPr>
      <w:sz w:val="20"/>
    </w:rPr>
  </w:style>
  <w:style w:type="paragraph" w:styleId="FootnoteText">
    <w:name w:val="footnote text"/>
    <w:aliases w:val="F1"/>
    <w:semiHidden/>
    <w:rsid w:val="005E0D27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link w:val="HeaderChar"/>
    <w:uiPriority w:val="99"/>
    <w:rsid w:val="005E0D27"/>
    <w:rPr>
      <w:sz w:val="16"/>
    </w:rPr>
  </w:style>
  <w:style w:type="paragraph" w:customStyle="1" w:styleId="L1-FlLSp12">
    <w:name w:val="L1-FlL Sp&amp;1/2"/>
    <w:basedOn w:val="Normal"/>
    <w:rsid w:val="005E0D27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5E0D27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5E0D27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5E0D27"/>
    <w:pPr>
      <w:numPr>
        <w:numId w:val="1"/>
      </w:numPr>
      <w:spacing w:after="240"/>
    </w:pPr>
  </w:style>
  <w:style w:type="paragraph" w:customStyle="1" w:styleId="N3-3rdBullet">
    <w:name w:val="N3-3rd Bullet"/>
    <w:basedOn w:val="Normal"/>
    <w:rsid w:val="005E0D27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5E0D27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5E0D27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5E0D27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5E0D27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5E0D27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5E0D27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5E0D27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5E0D27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5E0D27"/>
  </w:style>
  <w:style w:type="paragraph" w:customStyle="1" w:styleId="SP-SglSpPara">
    <w:name w:val="SP-Sgl Sp Para"/>
    <w:basedOn w:val="Normal"/>
    <w:rsid w:val="005E0D27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5E0D27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5E0D27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5E0D27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5E0D27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5E0D27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5E0D27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5E0D27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sz w:val="22"/>
    </w:rPr>
  </w:style>
  <w:style w:type="paragraph" w:customStyle="1" w:styleId="CT-ContractInformation">
    <w:name w:val="CT-Contract Information"/>
    <w:basedOn w:val="Normal"/>
    <w:rsid w:val="005E0D27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5E0D27"/>
    <w:pPr>
      <w:ind w:left="288"/>
    </w:pPr>
  </w:style>
  <w:style w:type="paragraph" w:customStyle="1" w:styleId="R2-ResBullet">
    <w:name w:val="R2-Res Bullet"/>
    <w:basedOn w:val="Normal"/>
    <w:rsid w:val="005E0D27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5E0D27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5E0D27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5E0D27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5E0D27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5E0D27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5E0D27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5E0D27"/>
  </w:style>
  <w:style w:type="paragraph" w:customStyle="1" w:styleId="R0-FLLftSglBoldItalic">
    <w:name w:val="R0-FL Lft Sgl Bold Italic"/>
    <w:basedOn w:val="Heading1"/>
    <w:rsid w:val="005E0D27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5E0D27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5E0D27"/>
    <w:pPr>
      <w:pBdr>
        <w:bottom w:val="single" w:sz="24" w:space="1" w:color="AFBED7"/>
      </w:pBdr>
      <w:tabs>
        <w:tab w:val="clear" w:pos="1152"/>
      </w:tabs>
      <w:spacing w:after="720"/>
      <w:ind w:left="6869" w:firstLine="0"/>
    </w:pPr>
  </w:style>
  <w:style w:type="paragraph" w:customStyle="1" w:styleId="TF-TblFN">
    <w:name w:val="TF-Tbl FN"/>
    <w:basedOn w:val="FootnoteText"/>
    <w:rsid w:val="005E0D27"/>
    <w:rPr>
      <w:rFonts w:ascii="Franklin Gothic Medium" w:hAnsi="Franklin Gothic Medium"/>
    </w:rPr>
  </w:style>
  <w:style w:type="paragraph" w:customStyle="1" w:styleId="TRH-TableRowHeading">
    <w:name w:val="TRH-Table Row Heading"/>
    <w:basedOn w:val="Normal"/>
    <w:rsid w:val="005E0D27"/>
    <w:pPr>
      <w:jc w:val="right"/>
    </w:pPr>
    <w:rPr>
      <w:b/>
      <w:szCs w:val="28"/>
    </w:rPr>
  </w:style>
  <w:style w:type="paragraph" w:styleId="TOC6">
    <w:name w:val="toc 6"/>
    <w:semiHidden/>
    <w:rsid w:val="005E0D27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5E0D27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5E0D27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5E0D27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5E0D27"/>
    <w:pPr>
      <w:spacing w:after="120"/>
      <w:ind w:left="162"/>
    </w:p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5E0D27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2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5E0D27"/>
    <w:rPr>
      <w:rFonts w:asciiTheme="minorHAnsi" w:hAnsiTheme="minorHAnsi"/>
    </w:rPr>
  </w:style>
  <w:style w:type="paragraph" w:customStyle="1" w:styleId="TB-TableBullets">
    <w:name w:val="TB-Table Bullets"/>
    <w:basedOn w:val="TX-TableText"/>
    <w:qFormat/>
    <w:rsid w:val="005E0D27"/>
    <w:pPr>
      <w:numPr>
        <w:numId w:val="11"/>
      </w:numPr>
      <w:ind w:left="432" w:hanging="288"/>
    </w:pPr>
  </w:style>
  <w:style w:type="paragraph" w:styleId="BodyText">
    <w:name w:val="Body Text"/>
    <w:basedOn w:val="Normal"/>
    <w:link w:val="BodyTextChar"/>
    <w:uiPriority w:val="99"/>
    <w:unhideWhenUsed/>
    <w:rsid w:val="005E0D27"/>
    <w:pPr>
      <w:spacing w:after="120" w:line="240" w:lineRule="auto"/>
    </w:pPr>
    <w:rPr>
      <w:rFonts w:ascii="Calibri" w:eastAsia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E0D27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5E0D27"/>
    <w:rPr>
      <w:b/>
      <w:bCs/>
    </w:rPr>
  </w:style>
  <w:style w:type="character" w:customStyle="1" w:styleId="BoldUnderscore">
    <w:name w:val="BoldUnderscore"/>
    <w:uiPriority w:val="1"/>
    <w:qFormat/>
    <w:rsid w:val="005E0D27"/>
    <w:rPr>
      <w:b/>
      <w:bCs/>
      <w:u w:val="single"/>
    </w:rPr>
  </w:style>
  <w:style w:type="paragraph" w:customStyle="1" w:styleId="TH-TableHeading">
    <w:name w:val="TH-Table Heading"/>
    <w:basedOn w:val="TRH-TableRowHeading"/>
    <w:qFormat/>
    <w:rsid w:val="005E0D27"/>
    <w:pPr>
      <w:jc w:val="center"/>
    </w:pPr>
  </w:style>
  <w:style w:type="paragraph" w:customStyle="1" w:styleId="FooterLandscape">
    <w:name w:val="Footer Landscape"/>
    <w:basedOn w:val="Footer"/>
    <w:qFormat/>
    <w:rsid w:val="005E0D27"/>
    <w:pPr>
      <w:tabs>
        <w:tab w:val="clear" w:pos="5040"/>
        <w:tab w:val="clear" w:pos="9936"/>
        <w:tab w:val="center" w:pos="6480"/>
        <w:tab w:val="right" w:pos="12960"/>
      </w:tabs>
    </w:pPr>
  </w:style>
  <w:style w:type="character" w:customStyle="1" w:styleId="HeaderChar">
    <w:name w:val="Header Char"/>
    <w:link w:val="Header"/>
    <w:uiPriority w:val="99"/>
    <w:rsid w:val="00251128"/>
    <w:rPr>
      <w:rFonts w:asciiTheme="minorHAnsi" w:hAnsiTheme="minorHAnsi"/>
      <w:sz w:val="16"/>
    </w:rPr>
  </w:style>
  <w:style w:type="paragraph" w:customStyle="1" w:styleId="BodyText4">
    <w:name w:val="Body Text 4"/>
    <w:basedOn w:val="Normal"/>
    <w:qFormat/>
    <w:rsid w:val="0042437B"/>
    <w:pPr>
      <w:spacing w:after="200" w:line="276" w:lineRule="auto"/>
    </w:pPr>
    <w:rPr>
      <w:rFonts w:ascii="Arial" w:eastAsia="Calibri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CB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B1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E3E8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2D4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uhsc.edu/administration/academic/ors/docs/HRP-2660_Examples%20of%20non-compliance%20&amp;%20serious%20non-compliance_v1.1_5.30.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suhsc.edu/administration/academic/ors/docs/HRP-2660_Examples%20of%20non-compliance%20&amp;%20serious%20non-compliance_v1.1_5.30.20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6102\6102.01.02.02\NCCAM%20Research%20Toolkit%20Update\NCCAM_Research_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1513-5BD3-4EE4-8391-335D7D50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NCCAM_Research_Toolkit</Template>
  <TotalTime>1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Deviation Tracking Log</vt:lpstr>
    </vt:vector>
  </TitlesOfParts>
  <Company>Westat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Deviation Tracking Log</dc:title>
  <dc:subject>To record all protocol deviations that occur at a study site</dc:subject>
  <dc:creator>National Center for Complementary and Integrative Health</dc:creator>
  <cp:keywords>protocol, deviation, log, study, site, coordinators, PI, NCCIH, NIH</cp:keywords>
  <dc:description/>
  <cp:lastModifiedBy>Alam, Jawed</cp:lastModifiedBy>
  <cp:revision>2</cp:revision>
  <dcterms:created xsi:type="dcterms:W3CDTF">2020-05-30T17:52:00Z</dcterms:created>
  <dcterms:modified xsi:type="dcterms:W3CDTF">2020-05-30T17:52:00Z</dcterms:modified>
</cp:coreProperties>
</file>